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pStyle w:val="2"/>
        <w:numPr>
          <w:ilvl w:val="0"/>
          <w:numId w:val="0"/>
        </w:numPr>
        <w:bidi w:val="0"/>
        <w:ind w:leftChars="0"/>
        <w:jc w:val="center"/>
        <w:rPr>
          <w:rFonts w:hint="default" w:eastAsia="宋体"/>
          <w:sz w:val="32"/>
          <w:szCs w:val="32"/>
          <w:lang w:val="en-US" w:eastAsia="zh-CN"/>
        </w:rPr>
      </w:pPr>
      <w:r>
        <w:rPr>
          <w:rFonts w:hint="eastAsia"/>
          <w:sz w:val="32"/>
          <w:szCs w:val="32"/>
          <w:lang w:val="en-US" w:eastAsia="zh-CN"/>
        </w:rPr>
        <w:t>北京市垂杨柳医院</w:t>
      </w:r>
      <w:bookmarkStart w:id="0" w:name="OLE_LINK1"/>
      <w:r>
        <w:rPr>
          <w:rFonts w:hint="eastAsia"/>
          <w:sz w:val="32"/>
          <w:szCs w:val="32"/>
          <w:lang w:val="en-US" w:eastAsia="zh-CN"/>
        </w:rPr>
        <w:t>网络设备运维项目</w:t>
      </w:r>
      <w:bookmarkEnd w:id="0"/>
      <w:r>
        <w:rPr>
          <w:rFonts w:hint="eastAsia"/>
          <w:sz w:val="32"/>
          <w:szCs w:val="32"/>
          <w:lang w:val="en-US" w:eastAsia="zh-CN"/>
        </w:rPr>
        <w:t>比选方案</w:t>
      </w:r>
    </w:p>
    <w:p>
      <w:pPr>
        <w:pStyle w:val="2"/>
        <w:bidi w:val="0"/>
        <w:ind w:left="0" w:leftChars="0" w:firstLine="0" w:firstLineChars="0"/>
      </w:pPr>
      <w:r>
        <w:rPr>
          <w:rFonts w:hint="eastAsia"/>
          <w:lang w:val="en-US" w:eastAsia="zh-CN"/>
        </w:rPr>
        <w:t>项目概述</w:t>
      </w:r>
    </w:p>
    <w:p>
      <w:pPr>
        <w:pStyle w:val="17"/>
        <w:keepNext w:val="0"/>
        <w:keepLines w:val="0"/>
        <w:widowControl/>
        <w:suppressLineNumbers w:val="0"/>
        <w:shd w:val="clear" w:fill="FFFFFF"/>
        <w:spacing w:before="240" w:beforeAutospacing="0" w:after="240" w:afterAutospacing="0"/>
        <w:ind w:left="0" w:right="0" w:firstLine="420" w:firstLineChars="0"/>
        <w:rPr>
          <w:rFonts w:ascii="Segoe UI" w:hAnsi="Segoe UI" w:eastAsia="Segoe UI" w:cs="Segoe UI"/>
          <w:i w:val="0"/>
          <w:iCs w:val="0"/>
          <w:caps w:val="0"/>
          <w:color w:val="0F1115"/>
          <w:spacing w:val="0"/>
          <w:sz w:val="24"/>
          <w:szCs w:val="24"/>
        </w:rPr>
      </w:pPr>
      <w:bookmarkStart w:id="1" w:name="_GoBack"/>
      <w:r>
        <w:rPr>
          <w:rFonts w:hint="default" w:ascii="Segoe UI" w:hAnsi="Segoe UI" w:eastAsia="Segoe UI" w:cs="Segoe UI"/>
          <w:i w:val="0"/>
          <w:iCs w:val="0"/>
          <w:caps w:val="0"/>
          <w:color w:val="0F1115"/>
          <w:spacing w:val="0"/>
          <w:sz w:val="24"/>
          <w:szCs w:val="24"/>
          <w:shd w:val="clear" w:fill="FFFFFF"/>
        </w:rPr>
        <w:t>本项目面向北京市垂杨柳医院内部各类网络设备，主要包括交换机、无线控制器（AC）及无线接入点（AP）等，开展系统化的运行维护工作。项目旨在保障医院医疗业务网络的高可用性、稳定性和安全性，满足日益增长的信息化诊疗需求。</w:t>
      </w:r>
    </w:p>
    <w:bookmarkEnd w:id="1"/>
    <w:p>
      <w:pPr>
        <w:pStyle w:val="17"/>
        <w:keepNext w:val="0"/>
        <w:keepLines w:val="0"/>
        <w:widowControl/>
        <w:suppressLineNumbers w:val="0"/>
        <w:shd w:val="clear" w:fill="FFFFFF"/>
        <w:spacing w:before="240" w:beforeAutospacing="0" w:after="0" w:afterAutospacing="0"/>
        <w:ind w:left="0" w:right="0" w:firstLine="420" w:firstLineChars="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通过规范的运维管理机制，对全网设备进行定期健康度检查与状态跟踪，及时发现并消除潜在隐患，确保网络系统持续处于良好运行水平。同时，建立日常配置调优、故障诊断与修复的快速响应能力，并保持网络拓扑等关键文档与实际环境同步更新。项目还配套灵活的技术支持与应急协同机制，可在各类突发状况下迅速介入处理，配合院方信息部门完成应急演练及相关保障任务。整体而言，本项目以提升网络基础设施的可靠性与运维效率为核心目标，为医院的数字化医疗服务提供坚实的网络支撑。</w:t>
      </w:r>
    </w:p>
    <w:p>
      <w:pPr>
        <w:pStyle w:val="2"/>
        <w:bidi w:val="0"/>
        <w:ind w:left="0" w:leftChars="0" w:firstLine="0" w:firstLineChars="0"/>
      </w:pPr>
      <w:r>
        <w:rPr>
          <w:rFonts w:hint="eastAsia"/>
          <w:lang w:val="en-US" w:eastAsia="zh-CN"/>
        </w:rPr>
        <w:t>项目</w:t>
      </w:r>
      <w:r>
        <w:rPr>
          <w:rFonts w:hint="eastAsia"/>
        </w:rPr>
        <w:t>内容</w:t>
      </w:r>
    </w:p>
    <w:tbl>
      <w:tblPr>
        <w:tblStyle w:val="1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720" w:type="dxa"/>
            <w:vAlign w:val="center"/>
          </w:tcPr>
          <w:p>
            <w:pPr>
              <w:bidi w:val="0"/>
            </w:pPr>
            <w:r>
              <w:rPr>
                <w:rFonts w:hint="eastAsia"/>
              </w:rPr>
              <w:t>序号</w:t>
            </w:r>
          </w:p>
        </w:tc>
        <w:tc>
          <w:tcPr>
            <w:tcW w:w="2524" w:type="dxa"/>
            <w:vAlign w:val="center"/>
          </w:tcPr>
          <w:p>
            <w:pPr>
              <w:bidi w:val="0"/>
              <w:jc w:val="center"/>
            </w:pPr>
            <w:r>
              <w:rPr>
                <w:rFonts w:hint="eastAsia"/>
              </w:rPr>
              <w:t>名称</w:t>
            </w:r>
          </w:p>
        </w:tc>
        <w:tc>
          <w:tcPr>
            <w:tcW w:w="1173" w:type="dxa"/>
            <w:vAlign w:val="center"/>
          </w:tcPr>
          <w:p>
            <w:pPr>
              <w:bidi w:val="0"/>
              <w:jc w:val="center"/>
            </w:pPr>
            <w:r>
              <w:rPr>
                <w:rFonts w:hint="eastAsia"/>
              </w:rPr>
              <w:t>数量</w:t>
            </w:r>
          </w:p>
        </w:tc>
        <w:tc>
          <w:tcPr>
            <w:tcW w:w="4225" w:type="dxa"/>
            <w:vAlign w:val="center"/>
          </w:tcPr>
          <w:p>
            <w:pPr>
              <w:bidi w:val="0"/>
              <w:jc w:val="center"/>
              <w:rPr>
                <w:rFonts w:hint="default" w:eastAsia="宋体"/>
                <w:lang w:val="en-US" w:eastAsia="zh-CN"/>
              </w:rPr>
            </w:pPr>
            <w:r>
              <w:rPr>
                <w:rFonts w:hint="eastAsia"/>
                <w:lang w:val="en-US" w:eastAsia="zh-CN"/>
              </w:rPr>
              <w:t>维护期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pPr>
          </w:p>
        </w:tc>
        <w:tc>
          <w:tcPr>
            <w:tcW w:w="2524" w:type="dxa"/>
            <w:vAlign w:val="center"/>
          </w:tcPr>
          <w:p>
            <w:pPr>
              <w:bidi w:val="0"/>
              <w:jc w:val="center"/>
              <w:rPr>
                <w:rFonts w:hint="default"/>
                <w:lang w:val="en-US"/>
              </w:rPr>
            </w:pPr>
            <w:r>
              <w:rPr>
                <w:rFonts w:hint="default"/>
                <w:lang w:val="en-US"/>
              </w:rPr>
              <w:t>网络设备运维项目</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宋体"/>
                <w:lang w:val="en-US" w:eastAsia="zh-CN"/>
              </w:rPr>
            </w:pPr>
            <w:r>
              <w:rPr>
                <w:rFonts w:hint="eastAsia"/>
                <w:lang w:val="en-US" w:eastAsia="zh-CN"/>
              </w:rPr>
              <w:t>1</w:t>
            </w:r>
          </w:p>
        </w:tc>
        <w:tc>
          <w:tcPr>
            <w:tcW w:w="4225" w:type="dxa"/>
            <w:vAlign w:val="center"/>
          </w:tcPr>
          <w:p>
            <w:pPr>
              <w:bidi w:val="0"/>
              <w:jc w:val="center"/>
            </w:pPr>
            <w:r>
              <w:rPr>
                <w:rFonts w:hint="eastAsia"/>
              </w:rPr>
              <w:t>合同签定后</w:t>
            </w:r>
            <w:r>
              <w:rPr>
                <w:rFonts w:hint="eastAsia"/>
                <w:lang w:val="en-US" w:eastAsia="zh-CN"/>
              </w:rPr>
              <w:t>12</w:t>
            </w:r>
            <w:r>
              <w:rPr>
                <w:rFonts w:hint="eastAsia"/>
              </w:rPr>
              <w:t>个月内</w:t>
            </w:r>
          </w:p>
        </w:tc>
      </w:tr>
    </w:tbl>
    <w:p>
      <w:pPr>
        <w:pStyle w:val="2"/>
        <w:bidi w:val="0"/>
        <w:ind w:left="0" w:leftChars="0" w:firstLine="0" w:firstLineChars="0"/>
      </w:pPr>
      <w:r>
        <w:rPr>
          <w:rFonts w:hint="eastAsia"/>
          <w:lang w:val="en-US" w:eastAsia="zh-CN"/>
        </w:rPr>
        <w:t>服务</w:t>
      </w:r>
      <w:r>
        <w:rPr>
          <w:rFonts w:hint="eastAsia"/>
        </w:rPr>
        <w:t>要求</w:t>
      </w:r>
    </w:p>
    <w:p>
      <w:pPr>
        <w:pStyle w:val="26"/>
        <w:numPr>
          <w:ilvl w:val="0"/>
          <w:numId w:val="3"/>
        </w:numPr>
        <w:spacing w:line="360" w:lineRule="auto"/>
        <w:ind w:left="851" w:firstLineChars="0"/>
        <w:rPr>
          <w:rFonts w:asciiTheme="minorEastAsia" w:hAnsiTheme="minorEastAsia"/>
          <w:sz w:val="24"/>
          <w:szCs w:val="24"/>
        </w:rPr>
      </w:pPr>
      <w:r>
        <w:rPr>
          <w:rFonts w:asciiTheme="minorEastAsia" w:hAnsiTheme="minorEastAsia"/>
          <w:sz w:val="24"/>
          <w:szCs w:val="24"/>
        </w:rPr>
        <w:t>提供每</w:t>
      </w:r>
      <w:r>
        <w:rPr>
          <w:rFonts w:hint="eastAsia" w:asciiTheme="minorEastAsia" w:hAnsiTheme="minorEastAsia"/>
          <w:sz w:val="24"/>
          <w:szCs w:val="24"/>
        </w:rPr>
        <w:t>月</w:t>
      </w:r>
      <w:r>
        <w:rPr>
          <w:rFonts w:asciiTheme="minorEastAsia" w:hAnsiTheme="minorEastAsia"/>
          <w:sz w:val="24"/>
          <w:szCs w:val="24"/>
        </w:rPr>
        <w:t>一次的巡检，由巡检</w:t>
      </w:r>
      <w:r>
        <w:rPr>
          <w:rFonts w:hint="eastAsia" w:asciiTheme="minorEastAsia" w:hAnsiTheme="minorEastAsia"/>
          <w:sz w:val="24"/>
          <w:szCs w:val="24"/>
        </w:rPr>
        <w:t>人员</w:t>
      </w:r>
      <w:r>
        <w:rPr>
          <w:rFonts w:asciiTheme="minorEastAsia" w:hAnsiTheme="minorEastAsia"/>
          <w:sz w:val="24"/>
          <w:szCs w:val="24"/>
        </w:rPr>
        <w:t>上门进行检查，记录巡检过程中存在问题及时处理，并提供详尽的巡检报告。</w:t>
      </w:r>
    </w:p>
    <w:p>
      <w:pPr>
        <w:pStyle w:val="26"/>
        <w:numPr>
          <w:ilvl w:val="0"/>
          <w:numId w:val="3"/>
        </w:numPr>
        <w:spacing w:line="360" w:lineRule="auto"/>
        <w:ind w:left="851" w:firstLineChars="0"/>
        <w:rPr>
          <w:rFonts w:asciiTheme="minorEastAsia" w:hAnsiTheme="minorEastAsia"/>
          <w:sz w:val="24"/>
          <w:szCs w:val="24"/>
        </w:rPr>
      </w:pPr>
      <w:r>
        <w:rPr>
          <w:rFonts w:hint="eastAsia" w:asciiTheme="minorEastAsia" w:hAnsiTheme="minorEastAsia"/>
          <w:sz w:val="24"/>
          <w:szCs w:val="24"/>
        </w:rPr>
        <w:t>提供日常网络配置调试及维修服务，并及时更新变更后网络拓扑图等关键资料。</w:t>
      </w:r>
    </w:p>
    <w:p>
      <w:pPr>
        <w:pStyle w:val="26"/>
        <w:numPr>
          <w:ilvl w:val="0"/>
          <w:numId w:val="3"/>
        </w:numPr>
        <w:spacing w:line="360" w:lineRule="auto"/>
        <w:ind w:left="851" w:firstLineChars="0"/>
        <w:rPr>
          <w:rFonts w:asciiTheme="minorEastAsia" w:hAnsiTheme="minorEastAsia"/>
          <w:sz w:val="24"/>
          <w:szCs w:val="24"/>
        </w:rPr>
      </w:pPr>
      <w:r>
        <w:rPr>
          <w:rFonts w:asciiTheme="minorEastAsia" w:hAnsiTheme="minorEastAsia"/>
          <w:sz w:val="24"/>
          <w:szCs w:val="24"/>
        </w:rPr>
        <w:t>提供在线技术支持，并在</w:t>
      </w:r>
      <w:r>
        <w:rPr>
          <w:rFonts w:hint="eastAsia" w:asciiTheme="minorEastAsia" w:hAnsiTheme="minorEastAsia"/>
          <w:sz w:val="24"/>
          <w:szCs w:val="24"/>
        </w:rPr>
        <w:t>1</w:t>
      </w:r>
      <w:r>
        <w:rPr>
          <w:rFonts w:asciiTheme="minorEastAsia" w:hAnsiTheme="minorEastAsia"/>
          <w:sz w:val="24"/>
          <w:szCs w:val="24"/>
        </w:rPr>
        <w:t xml:space="preserve">个小时内得到指定工程师的响应。 </w:t>
      </w:r>
    </w:p>
    <w:p>
      <w:pPr>
        <w:pStyle w:val="26"/>
        <w:numPr>
          <w:ilvl w:val="0"/>
          <w:numId w:val="3"/>
        </w:numPr>
        <w:spacing w:line="360" w:lineRule="auto"/>
        <w:ind w:left="851" w:firstLineChars="0"/>
        <w:rPr>
          <w:rFonts w:asciiTheme="minorEastAsia" w:hAnsiTheme="minorEastAsia"/>
          <w:sz w:val="24"/>
          <w:szCs w:val="24"/>
        </w:rPr>
      </w:pPr>
      <w:r>
        <w:rPr>
          <w:rFonts w:asciiTheme="minorEastAsia" w:hAnsiTheme="minorEastAsia"/>
          <w:sz w:val="24"/>
          <w:szCs w:val="24"/>
        </w:rPr>
        <w:t>提供7×24小时的电话技术支持和工程师上门维修服务。遇到报修，1小时内响应。如需工程师应急上门服务，工程师于接到服务要求后2小时内到场。</w:t>
      </w:r>
    </w:p>
    <w:p>
      <w:pPr>
        <w:pStyle w:val="26"/>
        <w:numPr>
          <w:ilvl w:val="0"/>
          <w:numId w:val="3"/>
        </w:numPr>
        <w:spacing w:before="100" w:beforeAutospacing="1" w:after="100" w:afterAutospacing="1" w:line="360" w:lineRule="auto"/>
        <w:ind w:left="851" w:firstLineChars="0"/>
        <w:rPr>
          <w:rFonts w:asciiTheme="minorEastAsia" w:hAnsiTheme="minorEastAsia"/>
          <w:sz w:val="24"/>
          <w:szCs w:val="24"/>
        </w:rPr>
      </w:pPr>
      <w:r>
        <w:rPr>
          <w:rFonts w:asciiTheme="minorEastAsia" w:hAnsiTheme="minorEastAsia"/>
          <w:sz w:val="24"/>
          <w:szCs w:val="24"/>
        </w:rPr>
        <w:t>配合院方信息部门进行应急演练及其他的运维工作。</w:t>
      </w:r>
    </w:p>
    <w:p>
      <w:pPr>
        <w:spacing w:before="100" w:beforeAutospacing="1" w:after="100" w:afterAutospacing="1" w:line="360" w:lineRule="auto"/>
        <w:rPr>
          <w:rFonts w:hint="default" w:eastAsia="宋体"/>
          <w:sz w:val="24"/>
          <w:lang w:val="en-US" w:eastAsia="zh-CN"/>
        </w:rPr>
      </w:pPr>
      <w:r>
        <w:rPr>
          <w:rFonts w:hint="eastAsia" w:asciiTheme="minorEastAsia" w:hAnsiTheme="minorEastAsia"/>
          <w:sz w:val="24"/>
          <w:szCs w:val="24"/>
        </w:rPr>
        <w:t>核心交换机需提供原厂标准质保服务。</w:t>
      </w:r>
    </w:p>
    <w:p>
      <w:pPr>
        <w:spacing w:before="100" w:beforeAutospacing="1" w:after="100" w:afterAutospacing="1" w:line="360" w:lineRule="auto"/>
        <w:rPr>
          <w:sz w:val="24"/>
        </w:rPr>
      </w:pPr>
      <w:r>
        <w:rPr>
          <w:sz w:val="24"/>
        </w:rPr>
        <w:t>北京市垂杨柳医院院内所有网络设备</w:t>
      </w:r>
      <w:r>
        <w:rPr>
          <w:rFonts w:hint="eastAsia"/>
          <w:sz w:val="24"/>
        </w:rPr>
        <w:t>，</w:t>
      </w:r>
      <w:r>
        <w:rPr>
          <w:sz w:val="24"/>
        </w:rPr>
        <w:t>具体清单如下</w:t>
      </w:r>
      <w:r>
        <w:rPr>
          <w:rFonts w:hint="eastAsia"/>
          <w:sz w:val="24"/>
        </w:rPr>
        <w:t>：</w:t>
      </w:r>
    </w:p>
    <w:tbl>
      <w:tblPr>
        <w:tblStyle w:val="18"/>
        <w:tblW w:w="8379" w:type="dxa"/>
        <w:tblInd w:w="93" w:type="dxa"/>
        <w:tblLayout w:type="autofit"/>
        <w:tblCellMar>
          <w:top w:w="0" w:type="dxa"/>
          <w:left w:w="108" w:type="dxa"/>
          <w:bottom w:w="0" w:type="dxa"/>
          <w:right w:w="108" w:type="dxa"/>
        </w:tblCellMar>
      </w:tblPr>
      <w:tblGrid>
        <w:gridCol w:w="3843"/>
        <w:gridCol w:w="2976"/>
        <w:gridCol w:w="1560"/>
      </w:tblGrid>
      <w:tr>
        <w:tblPrEx>
          <w:tblCellMar>
            <w:top w:w="0" w:type="dxa"/>
            <w:left w:w="108" w:type="dxa"/>
            <w:bottom w:w="0" w:type="dxa"/>
            <w:right w:w="108" w:type="dxa"/>
          </w:tblCellMar>
        </w:tblPrEx>
        <w:trPr>
          <w:trHeight w:val="480" w:hRule="atLeast"/>
        </w:trPr>
        <w:tc>
          <w:tcPr>
            <w:tcW w:w="3843" w:type="dxa"/>
            <w:tcBorders>
              <w:top w:val="single" w:color="auto" w:sz="4" w:space="0"/>
              <w:left w:val="single" w:color="auto" w:sz="4" w:space="0"/>
              <w:bottom w:val="single" w:color="auto" w:sz="4" w:space="0"/>
              <w:right w:val="single" w:color="auto" w:sz="4" w:space="0"/>
            </w:tcBorders>
            <w:shd w:val="clear" w:color="000000" w:fill="92D05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2976" w:type="dxa"/>
            <w:tcBorders>
              <w:top w:val="single" w:color="auto" w:sz="4" w:space="0"/>
              <w:left w:val="nil"/>
              <w:bottom w:val="single" w:color="auto" w:sz="4" w:space="0"/>
              <w:right w:val="single" w:color="auto" w:sz="4" w:space="0"/>
            </w:tcBorders>
            <w:shd w:val="clear" w:color="000000" w:fill="92D05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型号</w:t>
            </w:r>
          </w:p>
        </w:tc>
        <w:tc>
          <w:tcPr>
            <w:tcW w:w="1560" w:type="dxa"/>
            <w:tcBorders>
              <w:top w:val="single" w:color="auto" w:sz="4" w:space="0"/>
              <w:left w:val="nil"/>
              <w:bottom w:val="single" w:color="auto" w:sz="4" w:space="0"/>
              <w:right w:val="single" w:color="auto" w:sz="4" w:space="0"/>
            </w:tcBorders>
            <w:shd w:val="clear" w:color="000000" w:fill="92D05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交换机</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交换机</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S5731-S24P4X</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交换机</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S5731-S48P4X</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无线控制器</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AirEngine9700-M1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数据中心光接入1</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CE6881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数据中心光接入2(外网)</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CE6881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数据中心光接入3</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CE6881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数据中心光接入4</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CE6881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数据中心光接入5(外网)</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CE6881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数据中心光接入6</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CE6881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数据中心电接入1</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数据中心电接入2</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数据中心电接入3</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数据中心电接入4</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数据中心电接入5</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数据中心电接入6</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数据中心电接入7</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数据中心电接入8</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数据中心电接入9（外网）</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S5720-52X-LI-AC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数据中心电接入10（外网）</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灾备机房内网光接入1</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S6720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灾备机房内网电接入1</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灾备机房外网电接入1</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机房列头柜1接入</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机房列头柜2接入</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机房列头柜3接入</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机房列头柜4接入</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S5720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无线AP</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R251D-E</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377</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无线AP</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AP4050DN-E</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无线AP</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AirEngine8760-X1-PRO</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trPr>
          <w:trHeight w:val="270" w:hRule="atLeast"/>
        </w:trPr>
        <w:tc>
          <w:tcPr>
            <w:tcW w:w="3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中心AP设备</w:t>
            </w:r>
          </w:p>
        </w:tc>
        <w:tc>
          <w:tcPr>
            <w:tcW w:w="29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AD9431DN-24X（24口）</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内网核心交换机</w:t>
            </w:r>
          </w:p>
        </w:tc>
        <w:tc>
          <w:tcPr>
            <w:tcW w:w="2976"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S12700E-8</w:t>
            </w:r>
          </w:p>
        </w:tc>
        <w:tc>
          <w:tcPr>
            <w:tcW w:w="1560"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外网核心交换机</w:t>
            </w:r>
          </w:p>
        </w:tc>
        <w:tc>
          <w:tcPr>
            <w:tcW w:w="2976"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S12700E-4</w:t>
            </w:r>
          </w:p>
        </w:tc>
        <w:tc>
          <w:tcPr>
            <w:tcW w:w="1560"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无线核心交换机</w:t>
            </w:r>
          </w:p>
        </w:tc>
        <w:tc>
          <w:tcPr>
            <w:tcW w:w="2976"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S7706</w:t>
            </w:r>
          </w:p>
        </w:tc>
        <w:tc>
          <w:tcPr>
            <w:tcW w:w="1560"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3843"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服务器核心交换机</w:t>
            </w:r>
          </w:p>
        </w:tc>
        <w:tc>
          <w:tcPr>
            <w:tcW w:w="2976"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CE16804</w:t>
            </w:r>
          </w:p>
        </w:tc>
        <w:tc>
          <w:tcPr>
            <w:tcW w:w="1560" w:type="dxa"/>
            <w:tcBorders>
              <w:top w:val="nil"/>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bl>
    <w:p>
      <w:pPr>
        <w:ind w:firstLine="480"/>
        <w:rPr>
          <w:rFonts w:hint="eastAsia"/>
          <w:lang w:eastAsia="zh-CN"/>
        </w:rPr>
      </w:pPr>
    </w:p>
    <w:p>
      <w:pPr>
        <w:rPr>
          <w:rFonts w:hint="eastAsia"/>
          <w:lang w:val="en-US" w:eastAsia="zh-CN"/>
        </w:rPr>
      </w:pPr>
    </w:p>
    <w:p>
      <w:pPr>
        <w:pStyle w:val="2"/>
        <w:bidi w:val="0"/>
        <w:ind w:left="0" w:leftChars="0" w:firstLine="0" w:firstLineChars="0"/>
      </w:pPr>
      <w:r>
        <w:rPr>
          <w:rFonts w:hint="eastAsia"/>
        </w:rPr>
        <w:t>评分标准</w:t>
      </w:r>
    </w:p>
    <w:p>
      <w:pPr>
        <w:pStyle w:val="3"/>
        <w:bidi w:val="0"/>
        <w:rPr>
          <w:rFonts w:hint="eastAsia"/>
        </w:rPr>
      </w:pPr>
      <w:r>
        <w:rPr>
          <w:rFonts w:hint="eastAsia"/>
        </w:rPr>
        <w:t>评标方法</w:t>
      </w:r>
    </w:p>
    <w:p>
      <w:pPr>
        <w:ind w:firstLine="480"/>
      </w:pPr>
      <w:r>
        <w:rPr>
          <w:rFonts w:hint="eastAsia"/>
        </w:rPr>
        <w:t>本次评标采用综合评分法，</w:t>
      </w:r>
      <w:r>
        <w:rPr>
          <w:rFonts w:hint="eastAsia"/>
          <w:lang w:val="en-US" w:eastAsia="zh-CN"/>
        </w:rPr>
        <w:t>报价</w:t>
      </w:r>
      <w:r>
        <w:rPr>
          <w:rFonts w:hint="eastAsia"/>
        </w:rPr>
        <w:t>文件满足招标文件全部实质性要求且按照评审因素的量化指标评审得分最高的</w:t>
      </w:r>
      <w:r>
        <w:rPr>
          <w:rFonts w:hint="eastAsia"/>
          <w:lang w:val="en-US" w:eastAsia="zh-CN"/>
        </w:rPr>
        <w:t>报价</w:t>
      </w:r>
      <w:r>
        <w:rPr>
          <w:rFonts w:hint="eastAsia"/>
          <w:lang w:eastAsia="zh-CN"/>
        </w:rPr>
        <w:t>人</w:t>
      </w:r>
      <w:r>
        <w:rPr>
          <w:rFonts w:hint="eastAsia"/>
        </w:rPr>
        <w:t>为中标候选人。</w:t>
      </w:r>
    </w:p>
    <w:p>
      <w:pPr>
        <w:pStyle w:val="3"/>
        <w:bidi w:val="0"/>
        <w:rPr>
          <w:rFonts w:hint="eastAsia"/>
        </w:rPr>
      </w:pPr>
      <w:r>
        <w:rPr>
          <w:rFonts w:hint="eastAsia"/>
        </w:rPr>
        <w:t>评分标准</w:t>
      </w:r>
    </w:p>
    <w:p>
      <w:pPr>
        <w:ind w:firstLine="480"/>
        <w:rPr>
          <w:rFonts w:hint="eastAsia" w:eastAsia="宋体"/>
        </w:rPr>
      </w:pPr>
      <w:r>
        <w:rPr>
          <w:rFonts w:hint="eastAsia" w:eastAsia="宋体"/>
        </w:rPr>
        <w:t>共100分，其中商务技术分</w:t>
      </w:r>
      <w:r>
        <w:rPr>
          <w:rFonts w:hint="eastAsia"/>
          <w:lang w:val="en-US" w:eastAsia="zh-CN"/>
        </w:rPr>
        <w:t>9</w:t>
      </w:r>
      <w:r>
        <w:rPr>
          <w:rFonts w:hint="eastAsia" w:eastAsia="宋体"/>
        </w:rPr>
        <w:t>0分，价格分</w:t>
      </w:r>
      <w:r>
        <w:rPr>
          <w:rFonts w:hint="eastAsia"/>
          <w:lang w:val="en-US" w:eastAsia="zh-CN"/>
        </w:rPr>
        <w:t>1</w:t>
      </w:r>
      <w:r>
        <w:rPr>
          <w:rFonts w:hint="eastAsia" w:eastAsia="宋体"/>
        </w:rPr>
        <w:t>0分。评分依下述所列为评标打分依据。</w:t>
      </w:r>
    </w:p>
    <w:p>
      <w:pPr>
        <w:pStyle w:val="4"/>
        <w:bidi w:val="0"/>
      </w:pPr>
      <w:r>
        <w:rPr>
          <w:rFonts w:hint="eastAsia"/>
        </w:rPr>
        <w:t>价格分</w:t>
      </w:r>
      <w:r>
        <w:rPr>
          <w:rFonts w:hint="eastAsia"/>
          <w:lang w:val="en-US" w:eastAsia="zh-CN"/>
        </w:rPr>
        <w:t>1</w:t>
      </w:r>
      <w:r>
        <w:rPr>
          <w:rFonts w:hint="eastAsia"/>
        </w:rPr>
        <w:t>0分</w:t>
      </w:r>
    </w:p>
    <w:p>
      <w:pPr>
        <w:ind w:firstLine="480"/>
      </w:pPr>
      <w:r>
        <w:rPr>
          <w:rFonts w:hint="eastAsia"/>
        </w:rPr>
        <w:t>不超过采购预算，满足</w:t>
      </w:r>
      <w:r>
        <w:rPr>
          <w:rFonts w:hint="eastAsia"/>
          <w:lang w:val="en-US" w:eastAsia="zh-CN"/>
        </w:rPr>
        <w:t>比选</w:t>
      </w:r>
      <w:r>
        <w:rPr>
          <w:rFonts w:hint="eastAsia"/>
        </w:rPr>
        <w:t>文件要求且有效最终评审价格最低的为基准价。</w:t>
      </w:r>
    </w:p>
    <w:p>
      <w:pPr>
        <w:ind w:firstLine="480"/>
      </w:pPr>
      <w:r>
        <w:rPr>
          <w:rFonts w:hint="eastAsia"/>
        </w:rPr>
        <w:t>各</w:t>
      </w:r>
      <w:r>
        <w:rPr>
          <w:rFonts w:hint="eastAsia"/>
          <w:lang w:val="en-US" w:eastAsia="zh-CN"/>
        </w:rPr>
        <w:t>报价</w:t>
      </w:r>
      <w:r>
        <w:rPr>
          <w:rFonts w:hint="eastAsia"/>
          <w:lang w:eastAsia="zh-CN"/>
        </w:rPr>
        <w:t>人</w:t>
      </w:r>
      <w:r>
        <w:rPr>
          <w:rFonts w:hint="eastAsia"/>
        </w:rPr>
        <w:t>的价格分统一按照下列公式计算：</w:t>
      </w:r>
    </w:p>
    <w:p>
      <w:pPr>
        <w:ind w:firstLine="482"/>
        <w:rPr>
          <w:b/>
        </w:rPr>
      </w:pPr>
      <w:r>
        <w:rPr>
          <w:rFonts w:hint="eastAsia"/>
        </w:rPr>
        <w:t>价格部分得分=基准价/各</w:t>
      </w:r>
      <w:r>
        <w:rPr>
          <w:rFonts w:hint="eastAsia"/>
          <w:lang w:val="en-US" w:eastAsia="zh-CN"/>
        </w:rPr>
        <w:t>报价</w:t>
      </w:r>
      <w:r>
        <w:rPr>
          <w:rFonts w:hint="eastAsia"/>
          <w:lang w:eastAsia="zh-CN"/>
        </w:rPr>
        <w:t>人</w:t>
      </w:r>
      <w:r>
        <w:rPr>
          <w:rFonts w:hint="eastAsia"/>
        </w:rPr>
        <w:t>最终评审价格×</w:t>
      </w:r>
      <w:r>
        <w:rPr>
          <w:rFonts w:hint="eastAsia"/>
          <w:lang w:val="en-US" w:eastAsia="zh-CN"/>
        </w:rPr>
        <w:t>1</w:t>
      </w:r>
      <w:r>
        <w:rPr>
          <w:rFonts w:hint="eastAsia"/>
        </w:rPr>
        <w:t>0。</w:t>
      </w:r>
    </w:p>
    <w:p>
      <w:pPr>
        <w:pStyle w:val="4"/>
        <w:bidi w:val="0"/>
      </w:pPr>
      <w:r>
        <w:rPr>
          <w:rFonts w:hint="eastAsia"/>
        </w:rPr>
        <w:t>商务</w:t>
      </w:r>
      <w:r>
        <w:rPr>
          <w:rFonts w:hint="eastAsia"/>
          <w:lang w:val="en-US" w:eastAsia="zh-CN"/>
        </w:rPr>
        <w:t>技术</w:t>
      </w:r>
      <w:r>
        <w:rPr>
          <w:rFonts w:hint="eastAsia"/>
        </w:rPr>
        <w:t>分</w:t>
      </w:r>
      <w:r>
        <w:rPr>
          <w:rFonts w:hint="eastAsia"/>
          <w:lang w:val="en-US" w:eastAsia="zh-CN"/>
        </w:rPr>
        <w:t>9</w:t>
      </w:r>
      <w:r>
        <w:t>0</w:t>
      </w:r>
      <w:r>
        <w:rPr>
          <w:rFonts w:hint="eastAsia"/>
        </w:rPr>
        <w:t>分</w:t>
      </w:r>
    </w:p>
    <w:tbl>
      <w:tblPr>
        <w:tblStyle w:val="18"/>
        <w:tblW w:w="9153"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35"/>
        <w:gridCol w:w="1253"/>
        <w:gridCol w:w="5508"/>
        <w:gridCol w:w="690"/>
        <w:gridCol w:w="5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blCellSpacing w:w="0" w:type="dxa"/>
          <w:jc w:val="center"/>
        </w:trPr>
        <w:tc>
          <w:tcPr>
            <w:tcW w:w="113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评分因素</w:t>
            </w:r>
          </w:p>
        </w:tc>
        <w:tc>
          <w:tcPr>
            <w:tcW w:w="12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评分内容</w:t>
            </w:r>
          </w:p>
        </w:tc>
        <w:tc>
          <w:tcPr>
            <w:tcW w:w="550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评分标准</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分项分值</w:t>
            </w:r>
          </w:p>
        </w:tc>
        <w:tc>
          <w:tcPr>
            <w:tcW w:w="5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各部分值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tblCellSpacing w:w="0" w:type="dxa"/>
          <w:jc w:val="center"/>
        </w:trPr>
        <w:tc>
          <w:tcPr>
            <w:tcW w:w="1135"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商务部分</w:t>
            </w:r>
          </w:p>
        </w:tc>
        <w:tc>
          <w:tcPr>
            <w:tcW w:w="125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综合实力</w:t>
            </w:r>
          </w:p>
        </w:tc>
        <w:tc>
          <w:tcPr>
            <w:tcW w:w="5508"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r>
              <w:rPr>
                <w:rFonts w:asciiTheme="minorEastAsia" w:hAnsiTheme="minorEastAsia"/>
                <w:sz w:val="24"/>
                <w:szCs w:val="24"/>
              </w:rPr>
              <w:t>在中国境内取得合法营业执照，并在有效期内，信用中国查询无不良记录得</w:t>
            </w:r>
            <w:r>
              <w:rPr>
                <w:rFonts w:hint="eastAsia" w:asciiTheme="minorEastAsia" w:hAnsiTheme="minorEastAsia"/>
                <w:sz w:val="24"/>
                <w:szCs w:val="24"/>
              </w:rPr>
              <w:t>2</w:t>
            </w:r>
            <w:r>
              <w:rPr>
                <w:rFonts w:asciiTheme="minorEastAsia" w:hAnsiTheme="minorEastAsia"/>
                <w:sz w:val="24"/>
                <w:szCs w:val="24"/>
              </w:rPr>
              <w:t>分，有一项不附得0分</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2</w:t>
            </w:r>
          </w:p>
        </w:tc>
        <w:tc>
          <w:tcPr>
            <w:tcW w:w="567"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8" w:hRule="atLeast"/>
          <w:tblCellSpacing w:w="0" w:type="dxa"/>
          <w:jc w:val="center"/>
        </w:trPr>
        <w:tc>
          <w:tcPr>
            <w:tcW w:w="113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125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5508"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r>
              <w:rPr>
                <w:rFonts w:hint="eastAsia" w:asciiTheme="minorEastAsia" w:hAnsiTheme="minorEastAsia"/>
                <w:sz w:val="24"/>
                <w:szCs w:val="24"/>
              </w:rPr>
              <w:t>持有诚信供应商等级证书，信用等级证书，质量服务诚信企业证书，质量服务信誉证书，重服务守信用企业证书，重合同守信用企业证书，资信等级证书每个证书每提供一个得1分，</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7</w:t>
            </w:r>
          </w:p>
        </w:tc>
        <w:tc>
          <w:tcPr>
            <w:tcW w:w="5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8" w:hRule="atLeast"/>
          <w:tblCellSpacing w:w="0" w:type="dxa"/>
          <w:jc w:val="center"/>
        </w:trPr>
        <w:tc>
          <w:tcPr>
            <w:tcW w:w="113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1253"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5508"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r>
              <w:rPr>
                <w:rFonts w:asciiTheme="minorEastAsia" w:hAnsiTheme="minorEastAsia"/>
                <w:sz w:val="24"/>
                <w:szCs w:val="24"/>
              </w:rPr>
              <w:t>持有质量管理体系证书</w:t>
            </w:r>
            <w:r>
              <w:rPr>
                <w:rFonts w:hint="eastAsia" w:asciiTheme="minorEastAsia" w:hAnsiTheme="minorEastAsia"/>
                <w:sz w:val="24"/>
                <w:szCs w:val="24"/>
              </w:rPr>
              <w:t>得1分</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1</w:t>
            </w:r>
          </w:p>
        </w:tc>
        <w:tc>
          <w:tcPr>
            <w:tcW w:w="5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8" w:hRule="atLeast"/>
          <w:tblCellSpacing w:w="0" w:type="dxa"/>
          <w:jc w:val="center"/>
        </w:trPr>
        <w:tc>
          <w:tcPr>
            <w:tcW w:w="113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1253"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5508"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r>
              <w:rPr>
                <w:rFonts w:asciiTheme="minorEastAsia" w:hAnsiTheme="minorEastAsia"/>
                <w:sz w:val="24"/>
                <w:szCs w:val="24"/>
              </w:rPr>
              <w:t>持有</w:t>
            </w:r>
            <w:r>
              <w:rPr>
                <w:rFonts w:hint="eastAsia" w:asciiTheme="minorEastAsia" w:hAnsiTheme="minorEastAsia"/>
                <w:sz w:val="24"/>
                <w:szCs w:val="24"/>
              </w:rPr>
              <w:t>环境管理体系证书得1分</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1</w:t>
            </w:r>
          </w:p>
        </w:tc>
        <w:tc>
          <w:tcPr>
            <w:tcW w:w="5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8" w:hRule="atLeast"/>
          <w:tblCellSpacing w:w="0" w:type="dxa"/>
          <w:jc w:val="center"/>
        </w:trPr>
        <w:tc>
          <w:tcPr>
            <w:tcW w:w="113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1253"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5508"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r>
              <w:rPr>
                <w:rFonts w:asciiTheme="minorEastAsia" w:hAnsiTheme="minorEastAsia"/>
                <w:sz w:val="24"/>
                <w:szCs w:val="24"/>
              </w:rPr>
              <w:t>持有</w:t>
            </w:r>
            <w:r>
              <w:rPr>
                <w:rFonts w:hint="eastAsia" w:asciiTheme="minorEastAsia" w:hAnsiTheme="minorEastAsia"/>
                <w:sz w:val="24"/>
                <w:szCs w:val="24"/>
              </w:rPr>
              <w:t>职业健康安全管理体系证书得1分，</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1</w:t>
            </w:r>
          </w:p>
        </w:tc>
        <w:tc>
          <w:tcPr>
            <w:tcW w:w="5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8" w:hRule="atLeast"/>
          <w:tblCellSpacing w:w="0" w:type="dxa"/>
          <w:jc w:val="center"/>
        </w:trPr>
        <w:tc>
          <w:tcPr>
            <w:tcW w:w="113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1253"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5508"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r>
              <w:rPr>
                <w:rFonts w:hint="eastAsia" w:asciiTheme="minorEastAsia" w:hAnsiTheme="minorEastAsia"/>
                <w:sz w:val="24"/>
                <w:szCs w:val="24"/>
              </w:rPr>
              <w:t>核心交换机原厂标准服务质保函，需原厂提供并加盖原厂公章。</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6</w:t>
            </w:r>
          </w:p>
        </w:tc>
        <w:tc>
          <w:tcPr>
            <w:tcW w:w="5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tblCellSpacing w:w="0" w:type="dxa"/>
          <w:jc w:val="center"/>
        </w:trPr>
        <w:tc>
          <w:tcPr>
            <w:tcW w:w="113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12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业绩案例</w:t>
            </w:r>
          </w:p>
        </w:tc>
        <w:tc>
          <w:tcPr>
            <w:tcW w:w="5508" w:type="dxa"/>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r>
              <w:rPr>
                <w:rFonts w:asciiTheme="minorEastAsia" w:hAnsiTheme="minorEastAsia"/>
                <w:sz w:val="24"/>
                <w:szCs w:val="24"/>
              </w:rPr>
              <w:t>投标人近</w:t>
            </w:r>
            <w:r>
              <w:rPr>
                <w:rFonts w:hint="eastAsia" w:asciiTheme="minorEastAsia" w:hAnsiTheme="minorEastAsia"/>
                <w:sz w:val="24"/>
                <w:szCs w:val="24"/>
              </w:rPr>
              <w:t>3</w:t>
            </w:r>
            <w:r>
              <w:rPr>
                <w:rFonts w:asciiTheme="minorEastAsia" w:hAnsiTheme="minorEastAsia"/>
                <w:sz w:val="24"/>
                <w:szCs w:val="24"/>
              </w:rPr>
              <w:t>年独立完成的</w:t>
            </w:r>
            <w:r>
              <w:rPr>
                <w:rFonts w:hint="eastAsia" w:asciiTheme="minorEastAsia" w:hAnsiTheme="minorEastAsia"/>
                <w:sz w:val="24"/>
                <w:szCs w:val="24"/>
              </w:rPr>
              <w:t>网络维护</w:t>
            </w:r>
            <w:r>
              <w:rPr>
                <w:rFonts w:asciiTheme="minorEastAsia" w:hAnsiTheme="minorEastAsia"/>
                <w:sz w:val="24"/>
                <w:szCs w:val="24"/>
              </w:rPr>
              <w:t>业绩，每提供一个得</w:t>
            </w:r>
            <w:r>
              <w:rPr>
                <w:rFonts w:hint="eastAsia" w:asciiTheme="minorEastAsia" w:hAnsiTheme="minorEastAsia"/>
                <w:sz w:val="24"/>
                <w:szCs w:val="24"/>
              </w:rPr>
              <w:t>2</w:t>
            </w:r>
            <w:r>
              <w:rPr>
                <w:rFonts w:asciiTheme="minorEastAsia" w:hAnsiTheme="minorEastAsia"/>
                <w:sz w:val="24"/>
                <w:szCs w:val="24"/>
              </w:rPr>
              <w:t>分，最高得</w:t>
            </w:r>
            <w:r>
              <w:rPr>
                <w:rFonts w:hint="eastAsia" w:asciiTheme="minorEastAsia" w:hAnsiTheme="minorEastAsia"/>
                <w:sz w:val="24"/>
                <w:szCs w:val="24"/>
              </w:rPr>
              <w:t>6</w:t>
            </w:r>
            <w:r>
              <w:rPr>
                <w:rFonts w:asciiTheme="minorEastAsia" w:hAnsiTheme="minorEastAsia"/>
                <w:sz w:val="24"/>
                <w:szCs w:val="24"/>
              </w:rPr>
              <w:t>分。同一项目不同年度维保合同视为一个业绩（提供合同复印件并加盖公章）</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6</w:t>
            </w:r>
          </w:p>
        </w:tc>
        <w:tc>
          <w:tcPr>
            <w:tcW w:w="5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1135" w:type="dxa"/>
            <w:vMerge w:val="restart"/>
            <w:tcBorders>
              <w:top w:val="outset" w:color="auto" w:sz="6" w:space="0"/>
              <w:left w:val="outset" w:color="auto" w:sz="6" w:space="0"/>
              <w:right w:val="outset" w:color="auto" w:sz="6" w:space="0"/>
            </w:tcBorders>
            <w:vAlign w:val="center"/>
          </w:tcPr>
          <w:p>
            <w:pPr>
              <w:widowControl/>
              <w:jc w:val="center"/>
              <w:rPr>
                <w:rFonts w:asciiTheme="minorEastAsia" w:hAnsiTheme="minorEastAsia"/>
                <w:sz w:val="24"/>
                <w:szCs w:val="24"/>
              </w:rPr>
            </w:pPr>
            <w:r>
              <w:rPr>
                <w:rFonts w:asciiTheme="minorEastAsia" w:hAnsiTheme="minorEastAsia"/>
                <w:sz w:val="24"/>
                <w:szCs w:val="24"/>
              </w:rPr>
              <w:t>技术部分</w:t>
            </w:r>
          </w:p>
        </w:tc>
        <w:tc>
          <w:tcPr>
            <w:tcW w:w="1253" w:type="dxa"/>
            <w:tcBorders>
              <w:top w:val="outset" w:color="auto" w:sz="6" w:space="0"/>
              <w:left w:val="outset" w:color="auto" w:sz="6" w:space="0"/>
              <w:bottom w:val="outset" w:color="auto" w:sz="6" w:space="0"/>
              <w:right w:val="outset" w:color="auto" w:sz="6" w:space="0"/>
            </w:tcBorders>
            <w:vAlign w:val="center"/>
          </w:tcPr>
          <w:p>
            <w:pPr>
              <w:widowControl/>
              <w:overflowPunct w:val="0"/>
              <w:autoSpaceDE w:val="0"/>
              <w:autoSpaceDN w:val="0"/>
              <w:adjustRightInd w:val="0"/>
              <w:jc w:val="center"/>
              <w:textAlignment w:val="baseline"/>
              <w:rPr>
                <w:rFonts w:asciiTheme="minorEastAsia" w:hAnsiTheme="minorEastAsia"/>
                <w:sz w:val="24"/>
                <w:szCs w:val="24"/>
              </w:rPr>
            </w:pPr>
            <w:r>
              <w:rPr>
                <w:rFonts w:hint="eastAsia" w:asciiTheme="minorEastAsia" w:hAnsiTheme="minorEastAsia"/>
                <w:sz w:val="24"/>
                <w:szCs w:val="24"/>
              </w:rPr>
              <w:t>维护</w:t>
            </w:r>
            <w:r>
              <w:rPr>
                <w:rFonts w:asciiTheme="minorEastAsia" w:hAnsiTheme="minorEastAsia"/>
                <w:sz w:val="24"/>
                <w:szCs w:val="24"/>
              </w:rPr>
              <w:t>方案</w:t>
            </w:r>
          </w:p>
        </w:tc>
        <w:tc>
          <w:tcPr>
            <w:tcW w:w="5508" w:type="dxa"/>
            <w:tcBorders>
              <w:top w:val="outset" w:color="auto" w:sz="6" w:space="0"/>
              <w:left w:val="outset" w:color="auto" w:sz="6" w:space="0"/>
              <w:bottom w:val="outset" w:color="auto" w:sz="6" w:space="0"/>
              <w:right w:val="outset" w:color="auto" w:sz="6" w:space="0"/>
            </w:tcBorders>
            <w:vAlign w:val="center"/>
          </w:tcPr>
          <w:p>
            <w:pPr>
              <w:widowControl/>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依据投标人制定的维护服务方案的科学性、完备性、可行性、针对性进行综合评价：</w:t>
            </w:r>
          </w:p>
          <w:p>
            <w:pPr>
              <w:widowControl/>
              <w:numPr>
                <w:ilvl w:val="0"/>
                <w:numId w:val="4"/>
              </w:numPr>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维护方案科学合理、可行性和针对性强得</w:t>
            </w:r>
            <w:r>
              <w:rPr>
                <w:rFonts w:asciiTheme="minorEastAsia" w:hAnsiTheme="minorEastAsia"/>
                <w:sz w:val="24"/>
                <w:szCs w:val="24"/>
              </w:rPr>
              <w:t>3</w:t>
            </w:r>
            <w:r>
              <w:rPr>
                <w:rFonts w:hint="eastAsia" w:asciiTheme="minorEastAsia" w:hAnsiTheme="minorEastAsia"/>
                <w:sz w:val="24"/>
                <w:szCs w:val="24"/>
              </w:rPr>
              <w:t>5分；</w:t>
            </w:r>
          </w:p>
          <w:p>
            <w:pPr>
              <w:widowControl/>
              <w:numPr>
                <w:ilvl w:val="0"/>
                <w:numId w:val="4"/>
              </w:numPr>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维护方案科学合理性一般、可行性和针对性一般得</w:t>
            </w:r>
            <w:r>
              <w:rPr>
                <w:rFonts w:hint="eastAsia" w:asciiTheme="minorEastAsia" w:hAnsiTheme="minorEastAsia"/>
                <w:sz w:val="24"/>
                <w:szCs w:val="24"/>
                <w:lang w:val="en-US" w:eastAsia="zh-CN"/>
              </w:rPr>
              <w:t>25</w:t>
            </w:r>
            <w:r>
              <w:rPr>
                <w:rFonts w:hint="eastAsia" w:asciiTheme="minorEastAsia" w:hAnsiTheme="minorEastAsia"/>
                <w:sz w:val="24"/>
                <w:szCs w:val="24"/>
              </w:rPr>
              <w:t>分；</w:t>
            </w:r>
          </w:p>
          <w:p>
            <w:pPr>
              <w:widowControl/>
              <w:numPr>
                <w:ilvl w:val="0"/>
                <w:numId w:val="4"/>
              </w:numPr>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维护方案科学合理性较差，可行性和针对性较差得</w:t>
            </w:r>
            <w:r>
              <w:rPr>
                <w:rFonts w:hint="eastAsia" w:asciiTheme="minorEastAsia" w:hAnsiTheme="minorEastAsia"/>
                <w:sz w:val="24"/>
                <w:szCs w:val="24"/>
                <w:lang w:val="en-US" w:eastAsia="zh-CN"/>
              </w:rPr>
              <w:t>15</w:t>
            </w:r>
            <w:r>
              <w:rPr>
                <w:rFonts w:hint="eastAsia" w:asciiTheme="minorEastAsia" w:hAnsiTheme="minorEastAsia"/>
                <w:sz w:val="24"/>
                <w:szCs w:val="24"/>
              </w:rPr>
              <w:t>分；</w:t>
            </w:r>
          </w:p>
          <w:p>
            <w:pPr>
              <w:widowControl/>
              <w:numPr>
                <w:ilvl w:val="0"/>
                <w:numId w:val="4"/>
              </w:numPr>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lang w:val="en-US" w:eastAsia="zh-CN"/>
              </w:rPr>
              <w:t>未提供方案，得0分</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35</w:t>
            </w:r>
          </w:p>
        </w:tc>
        <w:tc>
          <w:tcPr>
            <w:tcW w:w="567" w:type="dxa"/>
            <w:vMerge w:val="restart"/>
            <w:tcBorders>
              <w:top w:val="outset" w:color="auto" w:sz="6" w:space="0"/>
              <w:left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1135" w:type="dxa"/>
            <w:vMerge w:val="continue"/>
            <w:tcBorders>
              <w:top w:val="outset" w:color="auto" w:sz="6" w:space="0"/>
              <w:left w:val="outset" w:color="auto" w:sz="6" w:space="0"/>
              <w:right w:val="outset" w:color="auto" w:sz="6" w:space="0"/>
            </w:tcBorders>
            <w:vAlign w:val="center"/>
          </w:tcPr>
          <w:p>
            <w:pPr>
              <w:widowControl/>
              <w:jc w:val="center"/>
              <w:rPr>
                <w:rFonts w:asciiTheme="minorEastAsia" w:hAnsiTheme="minorEastAsia"/>
                <w:sz w:val="24"/>
                <w:szCs w:val="24"/>
              </w:rPr>
            </w:pPr>
          </w:p>
        </w:tc>
        <w:tc>
          <w:tcPr>
            <w:tcW w:w="1253" w:type="dxa"/>
            <w:vMerge w:val="restart"/>
            <w:tcBorders>
              <w:top w:val="outset" w:color="auto" w:sz="6" w:space="0"/>
              <w:left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维护团队</w:t>
            </w:r>
          </w:p>
        </w:tc>
        <w:tc>
          <w:tcPr>
            <w:tcW w:w="5508" w:type="dxa"/>
            <w:tcBorders>
              <w:top w:val="outset" w:color="auto" w:sz="6" w:space="0"/>
              <w:left w:val="outset" w:color="auto" w:sz="6" w:space="0"/>
              <w:bottom w:val="outset" w:color="auto" w:sz="6" w:space="0"/>
              <w:right w:val="outset" w:color="auto" w:sz="6" w:space="0"/>
            </w:tcBorders>
            <w:vAlign w:val="center"/>
          </w:tcPr>
          <w:p>
            <w:pPr>
              <w:widowControl/>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依据投标人针对本项目组织的维护团队的组织架构及技术实力进行综合评价：</w:t>
            </w:r>
          </w:p>
          <w:p>
            <w:pPr>
              <w:widowControl/>
              <w:numPr>
                <w:ilvl w:val="0"/>
                <w:numId w:val="5"/>
              </w:numPr>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组织架构科学合理，团队成员技术实力强得10分；</w:t>
            </w:r>
          </w:p>
          <w:p>
            <w:pPr>
              <w:widowControl/>
              <w:numPr>
                <w:ilvl w:val="0"/>
                <w:numId w:val="5"/>
              </w:numPr>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组织架构较为科学合理，团队成员技术实力较强得</w:t>
            </w:r>
            <w:r>
              <w:rPr>
                <w:rFonts w:hint="eastAsia" w:asciiTheme="minorEastAsia" w:hAnsiTheme="minorEastAsia"/>
                <w:sz w:val="24"/>
                <w:szCs w:val="24"/>
                <w:lang w:val="en-US" w:eastAsia="zh-CN"/>
              </w:rPr>
              <w:t>5</w:t>
            </w:r>
            <w:r>
              <w:rPr>
                <w:rFonts w:hint="eastAsia" w:asciiTheme="minorEastAsia" w:hAnsiTheme="minorEastAsia"/>
                <w:sz w:val="24"/>
                <w:szCs w:val="24"/>
              </w:rPr>
              <w:t>分；</w:t>
            </w:r>
          </w:p>
          <w:p>
            <w:pPr>
              <w:widowControl/>
              <w:numPr>
                <w:ilvl w:val="0"/>
                <w:numId w:val="5"/>
              </w:numPr>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组织架构科学合理性差，团队成员技术实力差得3分</w:t>
            </w:r>
          </w:p>
          <w:p>
            <w:pPr>
              <w:widowControl/>
              <w:numPr>
                <w:ilvl w:val="0"/>
                <w:numId w:val="5"/>
              </w:numPr>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lang w:val="en-US" w:eastAsia="zh-CN"/>
              </w:rPr>
              <w:t>未提供得0分。</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10</w:t>
            </w:r>
          </w:p>
        </w:tc>
        <w:tc>
          <w:tcPr>
            <w:tcW w:w="567" w:type="dxa"/>
            <w:vMerge w:val="continue"/>
            <w:tcBorders>
              <w:left w:val="outset" w:color="auto" w:sz="6" w:space="0"/>
              <w:right w:val="outset" w:color="auto" w:sz="6" w:space="0"/>
            </w:tcBorders>
            <w:vAlign w:val="center"/>
          </w:tcPr>
          <w:p>
            <w:pPr>
              <w:widowControl/>
              <w:jc w:val="center"/>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1135" w:type="dxa"/>
            <w:vMerge w:val="continue"/>
            <w:tcBorders>
              <w:top w:val="outset" w:color="auto" w:sz="6" w:space="0"/>
              <w:left w:val="outset" w:color="auto" w:sz="6" w:space="0"/>
              <w:right w:val="outset" w:color="auto" w:sz="6" w:space="0"/>
            </w:tcBorders>
            <w:vAlign w:val="center"/>
          </w:tcPr>
          <w:p>
            <w:pPr>
              <w:widowControl/>
              <w:jc w:val="center"/>
              <w:rPr>
                <w:rFonts w:asciiTheme="minorEastAsia" w:hAnsiTheme="minorEastAsia"/>
                <w:sz w:val="24"/>
                <w:szCs w:val="24"/>
              </w:rPr>
            </w:pPr>
          </w:p>
        </w:tc>
        <w:tc>
          <w:tcPr>
            <w:tcW w:w="1253" w:type="dxa"/>
            <w:vMerge w:val="continue"/>
            <w:tcBorders>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p>
        </w:tc>
        <w:tc>
          <w:tcPr>
            <w:tcW w:w="5508" w:type="dxa"/>
            <w:tcBorders>
              <w:top w:val="outset" w:color="auto" w:sz="6" w:space="0"/>
              <w:left w:val="outset" w:color="auto" w:sz="6" w:space="0"/>
              <w:bottom w:val="outset" w:color="auto" w:sz="6" w:space="0"/>
              <w:right w:val="outset" w:color="auto" w:sz="6" w:space="0"/>
            </w:tcBorders>
            <w:vAlign w:val="center"/>
          </w:tcPr>
          <w:p>
            <w:pPr>
              <w:widowControl/>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维护团队人员具有人社局颁发的网络工程师证书</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5</w:t>
            </w:r>
          </w:p>
        </w:tc>
        <w:tc>
          <w:tcPr>
            <w:tcW w:w="567" w:type="dxa"/>
            <w:vMerge w:val="continue"/>
            <w:tcBorders>
              <w:left w:val="outset" w:color="auto" w:sz="6" w:space="0"/>
              <w:right w:val="outset" w:color="auto" w:sz="6" w:space="0"/>
            </w:tcBorders>
            <w:vAlign w:val="center"/>
          </w:tcPr>
          <w:p>
            <w:pPr>
              <w:widowControl/>
              <w:jc w:val="center"/>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1135" w:type="dxa"/>
            <w:vMerge w:val="continue"/>
            <w:tcBorders>
              <w:top w:val="outset" w:color="auto" w:sz="6" w:space="0"/>
              <w:left w:val="outset" w:color="auto" w:sz="6" w:space="0"/>
              <w:right w:val="outset" w:color="auto" w:sz="6" w:space="0"/>
            </w:tcBorders>
            <w:vAlign w:val="center"/>
          </w:tcPr>
          <w:p>
            <w:pPr>
              <w:widowControl/>
              <w:jc w:val="center"/>
              <w:rPr>
                <w:rFonts w:asciiTheme="minorEastAsia" w:hAnsiTheme="minorEastAsia"/>
                <w:sz w:val="24"/>
                <w:szCs w:val="24"/>
              </w:rPr>
            </w:pPr>
          </w:p>
        </w:tc>
        <w:tc>
          <w:tcPr>
            <w:tcW w:w="1253" w:type="dxa"/>
            <w:tcBorders>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p>
        </w:tc>
        <w:tc>
          <w:tcPr>
            <w:tcW w:w="5508" w:type="dxa"/>
            <w:tcBorders>
              <w:top w:val="outset" w:color="auto" w:sz="6" w:space="0"/>
              <w:left w:val="outset" w:color="auto" w:sz="6" w:space="0"/>
              <w:bottom w:val="outset" w:color="auto" w:sz="6" w:space="0"/>
              <w:right w:val="outset" w:color="auto" w:sz="6" w:space="0"/>
            </w:tcBorders>
            <w:vAlign w:val="center"/>
          </w:tcPr>
          <w:p>
            <w:pPr>
              <w:widowControl/>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维护团队人员具有华为数通Datacom工程师，</w:t>
            </w:r>
            <w:r>
              <w:rPr>
                <w:rFonts w:asciiTheme="minorEastAsia" w:hAnsiTheme="minorEastAsia"/>
                <w:sz w:val="24"/>
                <w:szCs w:val="24"/>
              </w:rPr>
              <w:t>每提供一个得</w:t>
            </w:r>
            <w:r>
              <w:rPr>
                <w:rFonts w:hint="eastAsia" w:asciiTheme="minorEastAsia" w:hAnsiTheme="minorEastAsia"/>
                <w:sz w:val="24"/>
                <w:szCs w:val="24"/>
              </w:rPr>
              <w:t>2</w:t>
            </w:r>
            <w:r>
              <w:rPr>
                <w:rFonts w:asciiTheme="minorEastAsia" w:hAnsiTheme="minorEastAsia"/>
                <w:sz w:val="24"/>
                <w:szCs w:val="24"/>
              </w:rPr>
              <w:t>分</w:t>
            </w:r>
            <w:r>
              <w:rPr>
                <w:rFonts w:hint="eastAsia" w:asciiTheme="minorEastAsia" w:hAnsiTheme="minorEastAsia"/>
                <w:sz w:val="24"/>
                <w:szCs w:val="24"/>
              </w:rPr>
              <w:t>.</w:t>
            </w: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6</w:t>
            </w:r>
          </w:p>
        </w:tc>
        <w:tc>
          <w:tcPr>
            <w:tcW w:w="567" w:type="dxa"/>
            <w:vMerge w:val="continue"/>
            <w:tcBorders>
              <w:left w:val="outset" w:color="auto" w:sz="6" w:space="0"/>
              <w:right w:val="outset" w:color="auto" w:sz="6" w:space="0"/>
            </w:tcBorders>
            <w:vAlign w:val="center"/>
          </w:tcPr>
          <w:p>
            <w:pPr>
              <w:widowControl/>
              <w:jc w:val="center"/>
              <w:rPr>
                <w:rFonts w:asciiTheme="minorEastAsia" w:hAnsiTheme="minorEastAsia"/>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jc w:val="center"/>
        </w:trPr>
        <w:tc>
          <w:tcPr>
            <w:tcW w:w="1135" w:type="dxa"/>
            <w:vMerge w:val="continue"/>
            <w:tcBorders>
              <w:left w:val="outset" w:color="auto" w:sz="6" w:space="0"/>
              <w:bottom w:val="outset" w:color="auto" w:sz="6" w:space="0"/>
              <w:right w:val="outset" w:color="auto" w:sz="6" w:space="0"/>
            </w:tcBorders>
            <w:vAlign w:val="center"/>
          </w:tcPr>
          <w:p>
            <w:pPr>
              <w:widowControl/>
              <w:jc w:val="left"/>
              <w:rPr>
                <w:rFonts w:asciiTheme="minorEastAsia" w:hAnsiTheme="minorEastAsia"/>
                <w:sz w:val="24"/>
                <w:szCs w:val="24"/>
              </w:rPr>
            </w:pPr>
          </w:p>
        </w:tc>
        <w:tc>
          <w:tcPr>
            <w:tcW w:w="125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故障响应及时性和紧急情况的应急预案</w:t>
            </w:r>
          </w:p>
        </w:tc>
        <w:tc>
          <w:tcPr>
            <w:tcW w:w="5508" w:type="dxa"/>
            <w:tcBorders>
              <w:top w:val="outset" w:color="auto" w:sz="6" w:space="0"/>
              <w:left w:val="outset" w:color="auto" w:sz="6" w:space="0"/>
              <w:bottom w:val="outset" w:color="auto" w:sz="6" w:space="0"/>
              <w:right w:val="outset" w:color="auto" w:sz="6" w:space="0"/>
            </w:tcBorders>
            <w:vAlign w:val="center"/>
          </w:tcPr>
          <w:p>
            <w:pPr>
              <w:widowControl/>
              <w:overflowPunct w:val="0"/>
              <w:autoSpaceDE w:val="0"/>
              <w:autoSpaceDN w:val="0"/>
              <w:adjustRightInd w:val="0"/>
              <w:jc w:val="left"/>
              <w:textAlignment w:val="baseline"/>
              <w:rPr>
                <w:rFonts w:asciiTheme="minorEastAsia" w:hAnsiTheme="minorEastAsia"/>
                <w:sz w:val="24"/>
                <w:szCs w:val="24"/>
              </w:rPr>
            </w:pPr>
            <w:r>
              <w:rPr>
                <w:rFonts w:hint="eastAsia" w:asciiTheme="minorEastAsia" w:hAnsiTheme="minorEastAsia"/>
                <w:sz w:val="24"/>
                <w:szCs w:val="24"/>
              </w:rPr>
              <w:t>依据投标人承诺的故障响应及时性和紧急情况的应急预案进行综合评价：</w:t>
            </w:r>
          </w:p>
          <w:p>
            <w:pPr>
              <w:spacing w:line="288" w:lineRule="auto"/>
              <w:rPr>
                <w:rFonts w:asciiTheme="minorEastAsia" w:hAnsiTheme="minorEastAsia"/>
                <w:sz w:val="24"/>
                <w:szCs w:val="24"/>
              </w:rPr>
            </w:pPr>
            <w:r>
              <w:rPr>
                <w:rFonts w:hint="eastAsia" w:asciiTheme="minorEastAsia" w:hAnsiTheme="minorEastAsia"/>
                <w:sz w:val="24"/>
                <w:szCs w:val="24"/>
              </w:rPr>
              <w:t>（1）响应及时，紧急情况的处理措施、预案以及抵抗风险的措施完备合理，可行性强得10分；</w:t>
            </w:r>
          </w:p>
          <w:p>
            <w:pPr>
              <w:spacing w:line="288" w:lineRule="auto"/>
              <w:rPr>
                <w:rFonts w:asciiTheme="minorEastAsia" w:hAnsiTheme="minorEastAsia"/>
                <w:sz w:val="24"/>
                <w:szCs w:val="24"/>
              </w:rPr>
            </w:pPr>
            <w:r>
              <w:rPr>
                <w:rFonts w:hint="eastAsia" w:asciiTheme="minorEastAsia" w:hAnsiTheme="minorEastAsia"/>
                <w:sz w:val="24"/>
                <w:szCs w:val="24"/>
              </w:rPr>
              <w:t>（2）响应较及时，应急预案及措施较为完备合理得</w:t>
            </w:r>
            <w:r>
              <w:rPr>
                <w:rFonts w:hint="eastAsia" w:asciiTheme="minorEastAsia" w:hAnsiTheme="minorEastAsia"/>
                <w:sz w:val="24"/>
                <w:szCs w:val="24"/>
                <w:lang w:val="en-US" w:eastAsia="zh-CN"/>
              </w:rPr>
              <w:t>5</w:t>
            </w:r>
            <w:r>
              <w:rPr>
                <w:rFonts w:hint="eastAsia" w:asciiTheme="minorEastAsia" w:hAnsiTheme="minorEastAsia"/>
                <w:sz w:val="24"/>
                <w:szCs w:val="24"/>
              </w:rPr>
              <w:t>分；</w:t>
            </w:r>
          </w:p>
          <w:p>
            <w:pPr>
              <w:spacing w:line="288" w:lineRule="auto"/>
              <w:rPr>
                <w:rFonts w:hint="eastAsia" w:asciiTheme="minorEastAsia" w:hAnsiTheme="minorEastAsia"/>
                <w:sz w:val="24"/>
                <w:szCs w:val="24"/>
              </w:rPr>
            </w:pPr>
            <w:r>
              <w:rPr>
                <w:rFonts w:hint="eastAsia" w:asciiTheme="minorEastAsia" w:hAnsiTheme="minorEastAsia"/>
                <w:sz w:val="24"/>
                <w:szCs w:val="24"/>
              </w:rPr>
              <w:t>（3）响应及时性一般，应急预案及措施合理性及可行性差得3分；</w:t>
            </w:r>
          </w:p>
          <w:p>
            <w:pPr>
              <w:spacing w:line="288" w:lineRule="auto"/>
              <w:rPr>
                <w:rFonts w:hint="eastAsia"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4</w:t>
            </w:r>
            <w:r>
              <w:rPr>
                <w:rFonts w:hint="eastAsia" w:asciiTheme="minorEastAsia" w:hAnsiTheme="minorEastAsia"/>
                <w:sz w:val="24"/>
                <w:szCs w:val="24"/>
              </w:rPr>
              <w:t>）</w:t>
            </w:r>
            <w:r>
              <w:rPr>
                <w:rFonts w:hint="eastAsia" w:asciiTheme="minorEastAsia" w:hAnsiTheme="minorEastAsia"/>
                <w:sz w:val="24"/>
                <w:szCs w:val="24"/>
                <w:lang w:val="en-US" w:eastAsia="zh-CN"/>
              </w:rPr>
              <w:t>未提供预案，</w:t>
            </w:r>
            <w:r>
              <w:rPr>
                <w:rFonts w:hint="eastAsia" w:asciiTheme="minorEastAsia" w:hAnsiTheme="minorEastAsia"/>
                <w:sz w:val="24"/>
                <w:szCs w:val="24"/>
              </w:rPr>
              <w:t>得</w:t>
            </w:r>
            <w:r>
              <w:rPr>
                <w:rFonts w:hint="eastAsia" w:asciiTheme="minorEastAsia" w:hAnsiTheme="minorEastAsia"/>
                <w:sz w:val="24"/>
                <w:szCs w:val="24"/>
                <w:lang w:val="en-US" w:eastAsia="zh-CN"/>
              </w:rPr>
              <w:t>0</w:t>
            </w:r>
            <w:r>
              <w:rPr>
                <w:rFonts w:hint="eastAsia" w:asciiTheme="minorEastAsia" w:hAnsiTheme="minorEastAsia"/>
                <w:sz w:val="24"/>
                <w:szCs w:val="24"/>
              </w:rPr>
              <w:t>分；</w:t>
            </w:r>
          </w:p>
          <w:p>
            <w:pPr>
              <w:spacing w:line="288" w:lineRule="auto"/>
              <w:rPr>
                <w:rFonts w:hint="eastAsia" w:asciiTheme="minorEastAsia" w:hAnsiTheme="minorEastAsia"/>
                <w:sz w:val="24"/>
                <w:szCs w:val="24"/>
              </w:rPr>
            </w:pPr>
          </w:p>
        </w:tc>
        <w:tc>
          <w:tcPr>
            <w:tcW w:w="6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r>
              <w:rPr>
                <w:rFonts w:hint="eastAsia" w:asciiTheme="minorEastAsia" w:hAnsiTheme="minorEastAsia"/>
                <w:sz w:val="24"/>
                <w:szCs w:val="24"/>
              </w:rPr>
              <w:t>10</w:t>
            </w:r>
          </w:p>
        </w:tc>
        <w:tc>
          <w:tcPr>
            <w:tcW w:w="567" w:type="dxa"/>
            <w:vMerge w:val="continue"/>
            <w:tcBorders>
              <w:left w:val="outset" w:color="auto" w:sz="6" w:space="0"/>
              <w:bottom w:val="outset" w:color="auto" w:sz="6" w:space="0"/>
              <w:right w:val="outset" w:color="auto" w:sz="6" w:space="0"/>
            </w:tcBorders>
            <w:vAlign w:val="center"/>
          </w:tcPr>
          <w:p>
            <w:pPr>
              <w:widowControl/>
              <w:jc w:val="center"/>
              <w:rPr>
                <w:rFonts w:asciiTheme="minorEastAsia" w:hAnsiTheme="minorEastAsia"/>
                <w:sz w:val="24"/>
                <w:szCs w:val="24"/>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6E853BC"/>
    <w:multiLevelType w:val="multilevel"/>
    <w:tmpl w:val="26E853B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4503A5"/>
    <w:multiLevelType w:val="multilevel"/>
    <w:tmpl w:val="4A4503A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7E78C2"/>
    <w:multiLevelType w:val="multilevel"/>
    <w:tmpl w:val="737E78C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6CE5CA7"/>
    <w:rsid w:val="087B39E8"/>
    <w:rsid w:val="0E1F17A0"/>
    <w:rsid w:val="106A58B6"/>
    <w:rsid w:val="194C18CF"/>
    <w:rsid w:val="1DD25D93"/>
    <w:rsid w:val="217C6B87"/>
    <w:rsid w:val="218439FB"/>
    <w:rsid w:val="231A61AF"/>
    <w:rsid w:val="2CBC5291"/>
    <w:rsid w:val="2E294A68"/>
    <w:rsid w:val="36783969"/>
    <w:rsid w:val="38316CA8"/>
    <w:rsid w:val="3D4A346B"/>
    <w:rsid w:val="41597CC1"/>
    <w:rsid w:val="42C64707"/>
    <w:rsid w:val="42C91868"/>
    <w:rsid w:val="44444E8A"/>
    <w:rsid w:val="493F0316"/>
    <w:rsid w:val="4A673806"/>
    <w:rsid w:val="4D7A37A4"/>
    <w:rsid w:val="55AE4FFD"/>
    <w:rsid w:val="58196B96"/>
    <w:rsid w:val="5C6E4D42"/>
    <w:rsid w:val="5F7A4DB3"/>
    <w:rsid w:val="611E2EDC"/>
    <w:rsid w:val="61D45648"/>
    <w:rsid w:val="6B571220"/>
    <w:rsid w:val="6DBC462A"/>
    <w:rsid w:val="6DD662A4"/>
    <w:rsid w:val="6F4E6291"/>
    <w:rsid w:val="744B6D39"/>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7">
    <w:name w:val="Normal (Web)"/>
    <w:basedOn w:val="1"/>
    <w:uiPriority w:val="0"/>
    <w:rPr>
      <w:sz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2">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3">
    <w:name w:val="font21"/>
    <w:basedOn w:val="20"/>
    <w:qFormat/>
    <w:uiPriority w:val="0"/>
    <w:rPr>
      <w:rFonts w:hint="default" w:ascii="Calibri" w:hAnsi="Calibri" w:cs="Calibri"/>
      <w:color w:val="000000"/>
      <w:sz w:val="21"/>
      <w:szCs w:val="21"/>
      <w:u w:val="none"/>
    </w:rPr>
  </w:style>
  <w:style w:type="character" w:customStyle="1" w:styleId="24">
    <w:name w:val="font11"/>
    <w:basedOn w:val="20"/>
    <w:qFormat/>
    <w:uiPriority w:val="0"/>
    <w:rPr>
      <w:rFonts w:hint="eastAsia" w:ascii="宋体" w:hAnsi="宋体" w:eastAsia="宋体" w:cs="宋体"/>
      <w:color w:val="000000"/>
      <w:sz w:val="21"/>
      <w:szCs w:val="21"/>
      <w:u w:val="none"/>
    </w:rPr>
  </w:style>
  <w:style w:type="character" w:customStyle="1" w:styleId="25">
    <w:name w:val="font51"/>
    <w:basedOn w:val="20"/>
    <w:qFormat/>
    <w:uiPriority w:val="0"/>
    <w:rPr>
      <w:rFonts w:hint="eastAsia" w:ascii="宋体" w:hAnsi="宋体" w:eastAsia="宋体" w:cs="宋体"/>
      <w:color w:val="000000"/>
      <w:sz w:val="20"/>
      <w:szCs w:val="20"/>
      <w:u w:val="non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7738</Words>
  <Characters>7940</Characters>
  <Lines>0</Lines>
  <Paragraphs>0</Paragraphs>
  <TotalTime>1</TotalTime>
  <ScaleCrop>false</ScaleCrop>
  <LinksUpToDate>false</LinksUpToDate>
  <CharactersWithSpaces>7940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2026-06-08T02:33:25Z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0AE1940819864E58B5BD8EDE93EF3A12</vt:lpwstr>
  </property>
  <property fmtid="{D5CDD505-2E9C-101B-9397-08002B2CF9AE}" pid="4" name="KSOTemplateDocerSaveRecord">
    <vt:lpwstr>eyJoZGlkIjoiMGJhYzMyMDlhZTg1YWZkY2ZiMTIzMTQ3OGY3NzU0ZmEiLCJ1c2VySWQiOiI2MTA2MDY2MTAifQ==</vt:lpwstr>
  </property>
</Properties>
</file>