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szCs w:val="32"/>
          <w:lang w:val="en-US" w:eastAsia="zh-CN"/>
        </w:rPr>
      </w:pPr>
      <w:r>
        <w:rPr>
          <w:rFonts w:hint="eastAsia" w:ascii="宋体" w:hAnsi="宋体" w:eastAsia="宋体" w:cs="宋体"/>
          <w:sz w:val="32"/>
          <w:szCs w:val="32"/>
        </w:rPr>
        <w:t>附件</w:t>
      </w:r>
      <w:r>
        <w:rPr>
          <w:rFonts w:hint="eastAsia" w:ascii="宋体" w:hAnsi="宋体" w:eastAsia="宋体" w:cs="宋体"/>
          <w:sz w:val="32"/>
          <w:szCs w:val="32"/>
          <w:lang w:val="en-US" w:eastAsia="zh-CN"/>
        </w:rPr>
        <w:t>2</w:t>
      </w:r>
      <w:r>
        <w:rPr>
          <w:rFonts w:hint="eastAsia" w:ascii="宋体" w:hAnsi="宋体" w:eastAsia="宋体" w:cs="宋体"/>
          <w:sz w:val="32"/>
          <w:szCs w:val="32"/>
        </w:rPr>
        <w:t>:</w:t>
      </w:r>
    </w:p>
    <w:p>
      <w:pPr>
        <w:pStyle w:val="2"/>
        <w:numPr>
          <w:ilvl w:val="0"/>
          <w:numId w:val="0"/>
        </w:numPr>
        <w:bidi w:val="0"/>
        <w:ind w:leftChars="0"/>
        <w:jc w:val="center"/>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北京市垂杨柳医院VTE管理系统比选方案</w:t>
      </w:r>
    </w:p>
    <w:p>
      <w:pPr>
        <w:pStyle w:val="2"/>
        <w:bidi w:val="0"/>
        <w:ind w:left="0" w:leftChars="0" w:firstLine="0" w:firstLineChars="0"/>
        <w:rPr>
          <w:rFonts w:hint="eastAsia" w:ascii="宋体" w:hAnsi="宋体" w:eastAsia="宋体" w:cs="宋体"/>
        </w:rPr>
      </w:pPr>
      <w:r>
        <w:rPr>
          <w:rFonts w:hint="eastAsia" w:ascii="宋体" w:hAnsi="宋体" w:eastAsia="宋体" w:cs="宋体"/>
          <w:lang w:val="en-US" w:eastAsia="zh-CN"/>
        </w:rPr>
        <w:t>项目概述</w:t>
      </w:r>
    </w:p>
    <w:p>
      <w:pPr>
        <w:ind w:left="0" w:leftChars="0" w:firstLine="420" w:firstLineChars="200"/>
        <w:rPr>
          <w:rFonts w:hint="eastAsia" w:ascii="宋体" w:hAnsi="宋体" w:eastAsia="宋体" w:cs="宋体"/>
          <w:sz w:val="21"/>
          <w:szCs w:val="21"/>
          <w:lang w:eastAsia="zh-CN"/>
        </w:rPr>
      </w:pPr>
      <w:r>
        <w:rPr>
          <w:rFonts w:hint="eastAsia" w:ascii="宋体" w:hAnsi="宋体" w:eastAsia="宋体" w:cs="宋体"/>
          <w:sz w:val="21"/>
          <w:szCs w:val="21"/>
          <w:lang w:val="en-US" w:eastAsia="zh-CN"/>
        </w:rPr>
        <w:t>我院要建设的</w:t>
      </w:r>
      <w:r>
        <w:rPr>
          <w:rFonts w:hint="eastAsia" w:ascii="宋体" w:hAnsi="宋体" w:eastAsia="宋体" w:cs="宋体"/>
          <w:sz w:val="21"/>
          <w:szCs w:val="21"/>
        </w:rPr>
        <w:t>VTE</w:t>
      </w:r>
      <w:r>
        <w:rPr>
          <w:rFonts w:hint="eastAsia" w:ascii="宋体" w:hAnsi="宋体" w:eastAsia="宋体" w:cs="宋体"/>
          <w:sz w:val="21"/>
          <w:szCs w:val="21"/>
          <w:lang w:val="en-US" w:eastAsia="zh-CN"/>
        </w:rPr>
        <w:t>管理</w:t>
      </w:r>
      <w:r>
        <w:rPr>
          <w:rFonts w:hint="eastAsia" w:ascii="宋体" w:hAnsi="宋体" w:eastAsia="宋体" w:cs="宋体"/>
          <w:sz w:val="21"/>
          <w:szCs w:val="21"/>
        </w:rPr>
        <w:t>系统</w:t>
      </w:r>
      <w:r>
        <w:rPr>
          <w:rFonts w:hint="eastAsia" w:ascii="宋体" w:hAnsi="宋体" w:eastAsia="宋体" w:cs="宋体"/>
          <w:sz w:val="21"/>
          <w:szCs w:val="21"/>
          <w:lang w:val="en-US" w:eastAsia="zh-CN"/>
        </w:rPr>
        <w:t>需要</w:t>
      </w:r>
      <w:r>
        <w:rPr>
          <w:rFonts w:hint="eastAsia" w:ascii="宋体" w:hAnsi="宋体" w:eastAsia="宋体" w:cs="宋体"/>
          <w:sz w:val="21"/>
          <w:szCs w:val="21"/>
        </w:rPr>
        <w:t>负责全院</w:t>
      </w:r>
      <w:r>
        <w:rPr>
          <w:rFonts w:hint="eastAsia" w:ascii="宋体" w:hAnsi="宋体" w:eastAsia="宋体" w:cs="宋体"/>
          <w:sz w:val="21"/>
          <w:szCs w:val="21"/>
          <w:lang w:val="en-US" w:eastAsia="zh-CN"/>
        </w:rPr>
        <w:t>所有临床科室</w:t>
      </w:r>
      <w:r>
        <w:rPr>
          <w:rFonts w:hint="eastAsia" w:ascii="宋体" w:hAnsi="宋体" w:eastAsia="宋体" w:cs="宋体"/>
          <w:sz w:val="21"/>
          <w:szCs w:val="21"/>
        </w:rPr>
        <w:t>VTE</w:t>
      </w:r>
      <w:r>
        <w:rPr>
          <w:rFonts w:hint="eastAsia" w:ascii="宋体" w:hAnsi="宋体" w:eastAsia="宋体" w:cs="宋体"/>
          <w:sz w:val="21"/>
          <w:szCs w:val="21"/>
          <w:lang w:val="en-US" w:eastAsia="zh-CN"/>
        </w:rPr>
        <w:t>的管理</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涵盖患者住院期间的全流程管理。系统要能够处理大量的患者信息和医疗数据，预计每日处理的新增数据量可达数千条，存储容量需满足至少十年以上的数据保存需求。同时，系统应具备支持多用户并发操作的能力，以确保在高峰时段全院医护人员都能流畅使用系统进行各项业务操作。</w:t>
      </w:r>
    </w:p>
    <w:p>
      <w:pPr>
        <w:pStyle w:val="2"/>
        <w:bidi w:val="0"/>
        <w:ind w:left="0" w:leftChars="0" w:firstLine="0" w:firstLineChars="0"/>
        <w:rPr>
          <w:rFonts w:hint="eastAsia" w:ascii="宋体" w:hAnsi="宋体" w:eastAsia="宋体" w:cs="宋体"/>
        </w:rPr>
      </w:pPr>
      <w:r>
        <w:rPr>
          <w:rFonts w:hint="eastAsia" w:ascii="宋体" w:hAnsi="宋体" w:eastAsia="宋体" w:cs="宋体"/>
          <w:lang w:val="en-US" w:eastAsia="zh-CN"/>
        </w:rPr>
        <w:t>项目</w:t>
      </w:r>
      <w:r>
        <w:rPr>
          <w:rFonts w:hint="eastAsia" w:ascii="宋体" w:hAnsi="宋体" w:eastAsia="宋体" w:cs="宋体"/>
        </w:rPr>
        <w:t>内容</w:t>
      </w:r>
    </w:p>
    <w:tbl>
      <w:tblPr>
        <w:tblStyle w:val="17"/>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24"/>
        <w:gridCol w:w="1173"/>
        <w:gridCol w:w="4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720" w:type="dxa"/>
            <w:vAlign w:val="center"/>
          </w:tcPr>
          <w:p>
            <w:pPr>
              <w:bidi w:val="0"/>
              <w:rPr>
                <w:rFonts w:hint="eastAsia" w:ascii="宋体" w:hAnsi="宋体" w:eastAsia="宋体" w:cs="宋体"/>
              </w:rPr>
            </w:pPr>
            <w:r>
              <w:rPr>
                <w:rFonts w:hint="eastAsia" w:ascii="宋体" w:hAnsi="宋体" w:eastAsia="宋体" w:cs="宋体"/>
              </w:rPr>
              <w:t>序号</w:t>
            </w:r>
          </w:p>
        </w:tc>
        <w:tc>
          <w:tcPr>
            <w:tcW w:w="2524" w:type="dxa"/>
            <w:vAlign w:val="center"/>
          </w:tcPr>
          <w:p>
            <w:pPr>
              <w:bidi w:val="0"/>
              <w:jc w:val="center"/>
              <w:rPr>
                <w:rFonts w:hint="eastAsia" w:ascii="宋体" w:hAnsi="宋体" w:eastAsia="宋体" w:cs="宋体"/>
              </w:rPr>
            </w:pPr>
            <w:r>
              <w:rPr>
                <w:rFonts w:hint="eastAsia" w:ascii="宋体" w:hAnsi="宋体" w:eastAsia="宋体" w:cs="宋体"/>
              </w:rPr>
              <w:t>名称</w:t>
            </w:r>
          </w:p>
        </w:tc>
        <w:tc>
          <w:tcPr>
            <w:tcW w:w="1173" w:type="dxa"/>
            <w:vAlign w:val="center"/>
          </w:tcPr>
          <w:p>
            <w:pPr>
              <w:bidi w:val="0"/>
              <w:jc w:val="center"/>
              <w:rPr>
                <w:rFonts w:hint="eastAsia" w:ascii="宋体" w:hAnsi="宋体" w:eastAsia="宋体" w:cs="宋体"/>
              </w:rPr>
            </w:pPr>
            <w:r>
              <w:rPr>
                <w:rFonts w:hint="eastAsia" w:ascii="宋体" w:hAnsi="宋体" w:eastAsia="宋体" w:cs="宋体"/>
              </w:rPr>
              <w:t>数量</w:t>
            </w:r>
          </w:p>
        </w:tc>
        <w:tc>
          <w:tcPr>
            <w:tcW w:w="4225" w:type="dxa"/>
            <w:vAlign w:val="center"/>
          </w:tcPr>
          <w:p>
            <w:pPr>
              <w:bidi w:val="0"/>
              <w:rPr>
                <w:rFonts w:hint="eastAsia" w:ascii="宋体" w:hAnsi="宋体" w:eastAsia="宋体" w:cs="宋体"/>
                <w:lang w:val="en-US" w:eastAsia="zh-CN"/>
              </w:rPr>
            </w:pPr>
            <w:r>
              <w:rPr>
                <w:rFonts w:hint="eastAsia" w:ascii="宋体" w:hAnsi="宋体" w:eastAsia="宋体" w:cs="宋体"/>
              </w:rPr>
              <w:t>交货期</w:t>
            </w:r>
            <w:r>
              <w:rPr>
                <w:rFonts w:hint="eastAsia" w:ascii="宋体" w:hAnsi="宋体" w:eastAsia="宋体" w:cs="宋体"/>
                <w:lang w:val="en-US" w:eastAsia="zh-CN"/>
              </w:rPr>
              <w:t>/建设期/维保期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720" w:type="dxa"/>
            <w:vAlign w:val="center"/>
          </w:tcPr>
          <w:p>
            <w:pPr>
              <w:numPr>
                <w:ilvl w:val="0"/>
                <w:numId w:val="2"/>
              </w:numPr>
              <w:bidi w:val="0"/>
              <w:ind w:left="0" w:leftChars="0" w:firstLine="0" w:firstLineChars="0"/>
              <w:jc w:val="center"/>
              <w:rPr>
                <w:rFonts w:hint="eastAsia" w:ascii="宋体" w:hAnsi="宋体" w:eastAsia="宋体" w:cs="宋体"/>
                <w:sz w:val="21"/>
                <w:szCs w:val="21"/>
              </w:rPr>
            </w:pPr>
          </w:p>
        </w:tc>
        <w:tc>
          <w:tcPr>
            <w:tcW w:w="2524" w:type="dxa"/>
            <w:vAlign w:val="center"/>
          </w:tcPr>
          <w:p>
            <w:pPr>
              <w:bidi w:val="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北京市垂杨柳医院VTE管理系统项目</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pPr>
              <w:bidi w:val="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4225" w:type="dxa"/>
            <w:vAlign w:val="center"/>
          </w:tcPr>
          <w:p>
            <w:pPr>
              <w:bidi w:val="0"/>
              <w:jc w:val="center"/>
              <w:rPr>
                <w:rFonts w:hint="eastAsia" w:ascii="宋体" w:hAnsi="宋体" w:eastAsia="宋体" w:cs="宋体"/>
                <w:sz w:val="21"/>
                <w:szCs w:val="21"/>
              </w:rPr>
            </w:pPr>
            <w:r>
              <w:rPr>
                <w:rFonts w:hint="eastAsia" w:ascii="宋体" w:hAnsi="宋体" w:eastAsia="宋体" w:cs="宋体"/>
                <w:sz w:val="21"/>
                <w:szCs w:val="21"/>
              </w:rPr>
              <w:t>合同签定后</w:t>
            </w:r>
            <w:r>
              <w:rPr>
                <w:rFonts w:hint="eastAsia" w:ascii="宋体" w:hAnsi="宋体" w:cs="宋体"/>
                <w:sz w:val="21"/>
                <w:szCs w:val="21"/>
                <w:lang w:val="en-US" w:eastAsia="zh-CN"/>
              </w:rPr>
              <w:t>6</w:t>
            </w:r>
            <w:r>
              <w:rPr>
                <w:rFonts w:hint="eastAsia" w:ascii="宋体" w:hAnsi="宋体" w:eastAsia="宋体" w:cs="宋体"/>
                <w:sz w:val="21"/>
                <w:szCs w:val="21"/>
              </w:rPr>
              <w:t>个月内</w:t>
            </w:r>
          </w:p>
        </w:tc>
      </w:tr>
    </w:tbl>
    <w:p>
      <w:pPr>
        <w:pStyle w:val="2"/>
        <w:bidi w:val="0"/>
        <w:ind w:left="0" w:leftChars="0" w:firstLine="0" w:firstLineChars="0"/>
        <w:rPr>
          <w:rFonts w:hint="eastAsia" w:ascii="宋体" w:hAnsi="宋体" w:eastAsia="宋体" w:cs="宋体"/>
        </w:rPr>
      </w:pPr>
      <w:r>
        <w:rPr>
          <w:rFonts w:hint="eastAsia" w:ascii="宋体" w:hAnsi="宋体" w:eastAsia="宋体" w:cs="宋体"/>
        </w:rPr>
        <w:t>技术要求</w:t>
      </w:r>
    </w:p>
    <w:p>
      <w:pPr>
        <w:numPr>
          <w:ilvl w:val="0"/>
          <w:numId w:val="0"/>
        </w:numPr>
        <w:spacing w:line="360" w:lineRule="auto"/>
        <w:ind w:firstLine="420" w:firstLineChars="200"/>
        <w:rPr>
          <w:rFonts w:hint="eastAsia" w:ascii="宋体" w:hAnsi="宋体" w:eastAsia="宋体" w:cs="宋体"/>
          <w:sz w:val="21"/>
          <w:szCs w:val="21"/>
        </w:rPr>
      </w:pPr>
      <w:r>
        <w:rPr>
          <w:rFonts w:hint="eastAsia" w:ascii="宋体" w:hAnsi="宋体" w:eastAsia="宋体" w:cs="宋体"/>
          <w:kern w:val="0"/>
          <w:sz w:val="21"/>
          <w:szCs w:val="21"/>
          <w:lang w:val="en-US" w:eastAsia="zh-CN"/>
        </w:rPr>
        <w:t>VTE管理系统项目的建设目标旨在通过信息化手段提升静脉血栓栓塞（VTE）的风险评估、预防和管理效率，确保医疗流程标准化与数据一致性。</w:t>
      </w:r>
      <w:r>
        <w:rPr>
          <w:rFonts w:hint="eastAsia" w:ascii="宋体" w:hAnsi="宋体" w:eastAsia="宋体" w:cs="宋体"/>
          <w:sz w:val="21"/>
          <w:szCs w:val="21"/>
        </w:rPr>
        <w:t>系统</w:t>
      </w:r>
      <w:r>
        <w:rPr>
          <w:rFonts w:hint="eastAsia" w:ascii="宋体" w:hAnsi="宋体" w:eastAsia="宋体" w:cs="宋体"/>
          <w:sz w:val="21"/>
          <w:szCs w:val="21"/>
          <w:lang w:val="en-US" w:eastAsia="zh-CN"/>
        </w:rPr>
        <w:t>主要包括：VTE数据维护、VTE评估、VTE评估录入、VTE预警提醒、VTE上报管理、VTE随访管理、VTE数据分析等。</w:t>
      </w:r>
    </w:p>
    <w:p>
      <w:pPr>
        <w:pStyle w:val="3"/>
        <w:bidi w:val="0"/>
        <w:rPr>
          <w:rFonts w:hint="eastAsia" w:ascii="宋体" w:hAnsi="宋体" w:eastAsia="宋体" w:cs="宋体"/>
          <w:lang w:val="en-US" w:eastAsia="zh-CN"/>
        </w:rPr>
      </w:pPr>
      <w:r>
        <w:rPr>
          <w:rFonts w:hint="eastAsia" w:ascii="宋体" w:hAnsi="宋体" w:eastAsia="宋体" w:cs="宋体"/>
          <w:lang w:val="en-US" w:eastAsia="zh-CN"/>
        </w:rPr>
        <w:t>VTE 管理系统具体功能要求</w:t>
      </w:r>
    </w:p>
    <w:p>
      <w:pPr>
        <w:pStyle w:val="4"/>
        <w:numPr>
          <w:ilvl w:val="0"/>
          <w:numId w:val="0"/>
        </w:numPr>
        <w:bidi w:val="0"/>
        <w:ind w:leftChars="0"/>
        <w:rPr>
          <w:rFonts w:hint="eastAsia" w:ascii="宋体" w:hAnsi="宋体" w:eastAsia="宋体" w:cs="宋体"/>
          <w:sz w:val="21"/>
          <w:szCs w:val="21"/>
          <w:lang w:val="en-US" w:eastAsia="zh-CN"/>
        </w:rPr>
      </w:pPr>
      <w:r>
        <w:rPr>
          <w:rFonts w:hint="eastAsia" w:ascii="宋体" w:hAnsi="宋体" w:eastAsia="宋体" w:cs="宋体"/>
          <w:lang w:val="en-US" w:eastAsia="zh-CN"/>
        </w:rPr>
        <w:t>1.1</w:t>
      </w:r>
      <w:r>
        <w:rPr>
          <w:rFonts w:hint="eastAsia" w:ascii="宋体" w:hAnsi="宋体" w:eastAsia="宋体" w:cs="宋体"/>
          <w:sz w:val="21"/>
          <w:szCs w:val="21"/>
          <w:lang w:val="en-US" w:eastAsia="zh-CN"/>
        </w:rPr>
        <w:t xml:space="preserve"> VTE维护</w:t>
      </w:r>
    </w:p>
    <w:p>
      <w:pPr>
        <w:pStyle w:val="25"/>
        <w:numPr>
          <w:ilvl w:val="0"/>
          <w:numId w:val="3"/>
        </w:numPr>
        <w:spacing w:line="360" w:lineRule="auto"/>
        <w:ind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VTE基础字典维护</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支持VTE基础字典维护界面，VTE基础字典包括：项目名称、分值、排序号、内外科标识、唯一编码、类型、出血评估表因子基、第三方对照编码等。</w:t>
      </w:r>
    </w:p>
    <w:p>
      <w:pPr>
        <w:pStyle w:val="25"/>
        <w:numPr>
          <w:ilvl w:val="0"/>
          <w:numId w:val="3"/>
        </w:numPr>
        <w:spacing w:line="360" w:lineRule="auto"/>
        <w:ind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VTE 科室字典类型维护</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支持针对科室在VTE中性质，维护为内科，外科，产科等相关类型。</w:t>
      </w:r>
    </w:p>
    <w:p>
      <w:pPr>
        <w:pStyle w:val="4"/>
        <w:numPr>
          <w:ilvl w:val="0"/>
          <w:numId w:val="0"/>
        </w:numPr>
        <w:bidi w:val="0"/>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1.2 VTE评估</w:t>
      </w:r>
    </w:p>
    <w:p>
      <w:pPr>
        <w:pStyle w:val="25"/>
        <w:numPr>
          <w:ilvl w:val="0"/>
          <w:numId w:val="3"/>
        </w:numPr>
        <w:spacing w:line="360" w:lineRule="auto"/>
        <w:ind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VTE评估历史列表</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支持查看历史评估表功能：包括：评估人、科室、评估类型、科室类型、评估时间、VTE评分值、风险程度、出血风险程度、最后修改人、最后修改时间等；</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支持双击可打开历史评估表功能，提供打印历史评估表功能；</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支持右键修改、删除、刷新、打印历史评估表功能；</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支持历史评估列表刷新功能。</w:t>
      </w:r>
    </w:p>
    <w:p>
      <w:pPr>
        <w:pStyle w:val="25"/>
        <w:numPr>
          <w:ilvl w:val="0"/>
          <w:numId w:val="3"/>
        </w:numPr>
        <w:spacing w:line="360" w:lineRule="auto"/>
        <w:ind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VTE评估录入</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支持新建时VTE时科室选择功能，内科、外科,产科；</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支持新建VTE时，选择评估类型功能，包括：入院评估、术后评估、阶段评估（病情变化）、转科评估、出院评估等；</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支持VTE评估项自提取功能（符合条件自动勾选）；</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支持VTE风险评估表项目信息勾选功能，且通过勾选的项目自动计算得分得出VTE风险程度评估，支持通过和第三方护理系统做接口（目前对接方式：视图），提取护理评估信息功能；</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支持出血风险评估表信息项目勾选功能，包括基础疾病相关危险因素、手术相关危险因素，并自动得出出血风险程度；</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支持危险分层及预防处方信息项目勾选功能，包括VTE危险分层、预防策略，预防方法等；</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支持VTE评估表提交和打印功能，且支持提交时自动生成医生签名和评估日期，可自动生成对应文书，支持CA数字签名认证。</w:t>
      </w:r>
    </w:p>
    <w:p>
      <w:pPr>
        <w:pStyle w:val="25"/>
        <w:numPr>
          <w:ilvl w:val="0"/>
          <w:numId w:val="3"/>
        </w:numPr>
        <w:spacing w:line="360" w:lineRule="auto"/>
        <w:ind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DVT诊断功能</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支持勾选病史及临床表现项目并自动得出总分和临床可能性评估</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支持DVT历史查看功能，包括：住院号、住院次、评估人、评估科室、DVT评分、DVT临床可能性、DVT评估时间等。</w:t>
      </w:r>
    </w:p>
    <w:p>
      <w:pPr>
        <w:pStyle w:val="25"/>
        <w:numPr>
          <w:ilvl w:val="0"/>
          <w:numId w:val="3"/>
        </w:numPr>
        <w:spacing w:line="360" w:lineRule="auto"/>
        <w:ind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提供PE诊断功能</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支持勾选临床情况项目并自动得出总分和临床概率评估；</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支持PE可能行历史查看功能，包括：住院号、住院次、评估人、评估科室、PE可能性评分、PE可能性临床概率、PE可能性评估时间等。</w:t>
      </w:r>
    </w:p>
    <w:p>
      <w:pPr>
        <w:pStyle w:val="25"/>
        <w:numPr>
          <w:ilvl w:val="0"/>
          <w:numId w:val="3"/>
        </w:numPr>
        <w:spacing w:line="360" w:lineRule="auto"/>
        <w:ind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PESI或sPESI功能</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支持勾选肺栓塞严重程度指数评分指标项目，并自动计算得分和危险度评估；</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支持PESI历史评估查看功能，包括：住院号、住院次、评估人、评估科室、PESI评分、PESI危险度、PESI评估时间等。</w:t>
      </w:r>
    </w:p>
    <w:p>
      <w:pPr>
        <w:pStyle w:val="4"/>
        <w:numPr>
          <w:ilvl w:val="0"/>
          <w:numId w:val="0"/>
        </w:numPr>
        <w:bidi w:val="0"/>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1.3 VTE预警提醒</w:t>
      </w:r>
    </w:p>
    <w:p>
      <w:pPr>
        <w:pStyle w:val="25"/>
        <w:numPr>
          <w:ilvl w:val="0"/>
          <w:numId w:val="3"/>
        </w:numPr>
        <w:spacing w:line="360" w:lineRule="auto"/>
        <w:ind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患者列表提醒</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患者列表展示患者最新风险评估情况</w:t>
      </w:r>
    </w:p>
    <w:p>
      <w:pPr>
        <w:pStyle w:val="25"/>
        <w:numPr>
          <w:ilvl w:val="0"/>
          <w:numId w:val="3"/>
        </w:numPr>
        <w:spacing w:line="360" w:lineRule="auto"/>
        <w:ind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预警提醒</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入院VTE评估未做时，不能创建首次主治查房记录模板（不局限模版可自由配置）</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术后VTE评估未做时，不能创建术后查房记录模板（不局限模版可自由配置）</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转科VTE评估未做时，不能创建转入记录模板（不局限模版可自由配置）上报卡诊断录入自动触发；</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入院24小时内如有“中高危”必须评估一次；</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住院期间7天如有“中高危”就要评估一次；</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有“中高危”在转科后，转入科室必须评估一次；</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在住院期间，如有“中高危”，出院内24小时，必须评估一次，且填写上报卡；</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手术后只要出现过一次中高危的都要进行术后评估；</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儿科和年龄小于12岁的不用强制评估；</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触发Wells监控项,系统会提示需要评估Wells评分；</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在患者住院期间，如果超声、心脏彩超、CTA等影像检查报告上出现以下关键词：“深静脉血栓形成”、“肺栓塞”、“静脉血栓”、“血栓形成”、“血栓”、“栓塞”等，系统设置提醒。（需与第三方做接口）</w:t>
      </w:r>
    </w:p>
    <w:p>
      <w:pPr>
        <w:pStyle w:val="4"/>
        <w:numPr>
          <w:ilvl w:val="0"/>
          <w:numId w:val="0"/>
        </w:numPr>
        <w:bidi w:val="0"/>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1.4 VTE上报管理</w:t>
      </w:r>
    </w:p>
    <w:p>
      <w:pPr>
        <w:pStyle w:val="25"/>
        <w:numPr>
          <w:ilvl w:val="0"/>
          <w:numId w:val="3"/>
        </w:numPr>
        <w:spacing w:line="360" w:lineRule="auto"/>
        <w:ind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上报卡诊断录入自动触发</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支持针对附和VTE上报的诊断或者关键词进行单独维护，触发上报。</w:t>
      </w:r>
    </w:p>
    <w:p>
      <w:pPr>
        <w:pStyle w:val="25"/>
        <w:numPr>
          <w:ilvl w:val="0"/>
          <w:numId w:val="3"/>
        </w:numPr>
        <w:spacing w:line="360" w:lineRule="auto"/>
        <w:ind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上报卡诊断录入自动触发</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符合VTE上报卡条件的诊断、关键词可自动触发上报，不上报，需填写原因。</w:t>
      </w:r>
    </w:p>
    <w:p>
      <w:pPr>
        <w:pStyle w:val="25"/>
        <w:numPr>
          <w:ilvl w:val="0"/>
          <w:numId w:val="3"/>
        </w:numPr>
        <w:spacing w:line="360" w:lineRule="auto"/>
        <w:ind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上报卡审核管理</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支持上报卡审核界面，可针对医生提交的VTE上报卡，进行审核，驳回等相关操作。</w:t>
      </w:r>
    </w:p>
    <w:p>
      <w:pPr>
        <w:pStyle w:val="25"/>
        <w:numPr>
          <w:ilvl w:val="0"/>
          <w:numId w:val="3"/>
        </w:numPr>
        <w:spacing w:line="360" w:lineRule="auto"/>
        <w:ind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上报卡填写根据填报内容自动提取</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支持VTE上报卡填写根据VTE风险评估内容自动提取表单相关信息。</w:t>
      </w:r>
    </w:p>
    <w:p>
      <w:pPr>
        <w:pStyle w:val="25"/>
        <w:numPr>
          <w:ilvl w:val="0"/>
          <w:numId w:val="3"/>
        </w:numPr>
        <w:spacing w:line="360" w:lineRule="auto"/>
        <w:ind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 xml:space="preserve"> 上报卡打印</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支持VTE上报卡打印签名功能，支持CA数字签名认证。</w:t>
      </w:r>
    </w:p>
    <w:p>
      <w:pPr>
        <w:pStyle w:val="4"/>
        <w:numPr>
          <w:ilvl w:val="0"/>
          <w:numId w:val="0"/>
        </w:numPr>
        <w:bidi w:val="0"/>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1.5 VTE随访</w:t>
      </w:r>
    </w:p>
    <w:p>
      <w:pPr>
        <w:pStyle w:val="25"/>
        <w:numPr>
          <w:ilvl w:val="0"/>
          <w:numId w:val="3"/>
        </w:numPr>
        <w:spacing w:line="360" w:lineRule="auto"/>
        <w:ind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随访录入</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支持针对已做出VTE评估的已出院上报患者，进行随访量表创建,填写及打印功能。</w:t>
      </w:r>
    </w:p>
    <w:p>
      <w:pPr>
        <w:pStyle w:val="25"/>
        <w:numPr>
          <w:ilvl w:val="0"/>
          <w:numId w:val="3"/>
        </w:numPr>
        <w:spacing w:line="360" w:lineRule="auto"/>
        <w:ind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随访管理</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支持针对已做出VTE随访量表的患者，进行查看，统计，导出功能。</w:t>
      </w:r>
    </w:p>
    <w:p>
      <w:pPr>
        <w:pStyle w:val="4"/>
        <w:numPr>
          <w:ilvl w:val="0"/>
          <w:numId w:val="0"/>
        </w:numPr>
        <w:bidi w:val="0"/>
        <w:ind w:left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1.6 VTE质量统计</w:t>
      </w:r>
    </w:p>
    <w:p>
      <w:pPr>
        <w:pStyle w:val="25"/>
        <w:numPr>
          <w:ilvl w:val="0"/>
          <w:numId w:val="3"/>
        </w:numPr>
        <w:spacing w:line="360" w:lineRule="auto"/>
        <w:ind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指标项统计查询，导出</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支持风险评估和预防类指标，诊断类指标，治疗类指标，结局相关指标，成本效率相关指标分析统计界面；</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支持按年、月、日、科室、诊疗组等相关维度统计分析；</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支持柱状图，线状图，饼状图等统计方式展示。</w:t>
      </w:r>
    </w:p>
    <w:p>
      <w:pPr>
        <w:pStyle w:val="25"/>
        <w:numPr>
          <w:ilvl w:val="0"/>
          <w:numId w:val="3"/>
        </w:numPr>
        <w:spacing w:line="360" w:lineRule="auto"/>
        <w:ind w:firstLineChars="0"/>
        <w:jc w:val="left"/>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VTE评分报表统计</w:t>
      </w:r>
    </w:p>
    <w:p>
      <w:pPr>
        <w:pStyle w:val="25"/>
        <w:numPr>
          <w:ilvl w:val="0"/>
          <w:numId w:val="4"/>
        </w:numPr>
        <w:ind w:left="1838" w:firstLineChars="0"/>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支持Caprini评分及Padua评分评估例数，分数区间，物理干预率，药物干预率等相关明细统计导出。</w:t>
      </w:r>
    </w:p>
    <w:p>
      <w:pPr>
        <w:pStyle w:val="2"/>
        <w:bidi w:val="0"/>
        <w:ind w:left="0" w:leftChars="0" w:firstLine="0" w:firstLineChars="0"/>
        <w:rPr>
          <w:rFonts w:hint="eastAsia" w:ascii="宋体" w:hAnsi="宋体" w:eastAsia="宋体" w:cs="宋体"/>
        </w:rPr>
      </w:pPr>
      <w:r>
        <w:rPr>
          <w:rFonts w:hint="eastAsia" w:ascii="宋体" w:hAnsi="宋体" w:eastAsia="宋体" w:cs="宋体"/>
          <w:lang w:val="en-US" w:eastAsia="zh-CN"/>
        </w:rPr>
        <w:t>商务条款</w:t>
      </w:r>
    </w:p>
    <w:p>
      <w:pPr>
        <w:numPr>
          <w:ilvl w:val="0"/>
          <w:numId w:val="5"/>
        </w:numPr>
        <w:bidi w:val="0"/>
        <w:rPr>
          <w:rFonts w:hint="eastAsia" w:ascii="宋体" w:hAnsi="宋体" w:eastAsia="宋体" w:cs="宋体"/>
        </w:rPr>
      </w:pPr>
      <w:r>
        <w:rPr>
          <w:rFonts w:hint="eastAsia" w:ascii="宋体" w:hAnsi="宋体" w:eastAsia="宋体" w:cs="宋体"/>
        </w:rPr>
        <w:t>本次项目中涉及的系统软件须提供原厂</w:t>
      </w:r>
      <w:r>
        <w:rPr>
          <w:rFonts w:hint="eastAsia" w:ascii="宋体" w:hAnsi="宋体" w:cs="宋体"/>
          <w:lang w:val="en-US" w:eastAsia="zh-CN"/>
        </w:rPr>
        <w:t>叁</w:t>
      </w:r>
      <w:bookmarkStart w:id="0" w:name="_GoBack"/>
      <w:bookmarkEnd w:id="0"/>
      <w:r>
        <w:rPr>
          <w:rFonts w:hint="eastAsia" w:ascii="宋体" w:hAnsi="宋体" w:eastAsia="宋体" w:cs="宋体"/>
        </w:rPr>
        <w:t>年质保服务</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自项目验收之日起</w:t>
      </w:r>
      <w:r>
        <w:rPr>
          <w:rFonts w:hint="eastAsia" w:ascii="宋体" w:hAnsi="宋体" w:eastAsia="宋体" w:cs="宋体"/>
          <w:color w:val="auto"/>
          <w:szCs w:val="21"/>
          <w:highlight w:val="none"/>
          <w:lang w:eastAsia="zh-CN"/>
        </w:rPr>
        <w:t>）</w:t>
      </w:r>
      <w:r>
        <w:rPr>
          <w:rFonts w:hint="eastAsia" w:ascii="宋体" w:hAnsi="宋体" w:eastAsia="宋体" w:cs="宋体"/>
        </w:rPr>
        <w:t>。</w:t>
      </w:r>
    </w:p>
    <w:p>
      <w:pPr>
        <w:numPr>
          <w:ilvl w:val="0"/>
          <w:numId w:val="5"/>
        </w:numPr>
        <w:bidi w:val="0"/>
        <w:rPr>
          <w:rFonts w:hint="eastAsia" w:ascii="宋体" w:hAnsi="宋体" w:eastAsia="宋体" w:cs="宋体"/>
          <w:lang w:val="en-US" w:eastAsia="zh-CN"/>
        </w:rPr>
      </w:pPr>
      <w:r>
        <w:rPr>
          <w:rFonts w:hint="eastAsia" w:ascii="宋体" w:hAnsi="宋体" w:eastAsia="宋体" w:cs="宋体"/>
          <w:lang w:val="en-US" w:eastAsia="zh-CN"/>
        </w:rPr>
        <w:t>报价</w:t>
      </w:r>
      <w:r>
        <w:rPr>
          <w:rFonts w:hint="eastAsia" w:ascii="宋体" w:hAnsi="宋体" w:eastAsia="宋体" w:cs="宋体"/>
        </w:rPr>
        <w:t>人负责项目相关设备软件的安装、调试及上线，招标单位予以配合。</w:t>
      </w:r>
    </w:p>
    <w:p>
      <w:pPr>
        <w:numPr>
          <w:ilvl w:val="0"/>
          <w:numId w:val="5"/>
        </w:numPr>
        <w:bidi w:val="0"/>
        <w:rPr>
          <w:rFonts w:hint="eastAsia" w:ascii="宋体" w:hAnsi="宋体" w:eastAsia="宋体" w:cs="宋体"/>
        </w:rPr>
      </w:pPr>
      <w:r>
        <w:rPr>
          <w:rFonts w:hint="eastAsia" w:ascii="宋体" w:hAnsi="宋体" w:eastAsia="宋体" w:cs="宋体"/>
          <w:lang w:val="en-US" w:eastAsia="zh-CN"/>
        </w:rPr>
        <w:t>报价</w:t>
      </w:r>
      <w:r>
        <w:rPr>
          <w:rFonts w:hint="eastAsia" w:ascii="宋体" w:hAnsi="宋体" w:eastAsia="宋体" w:cs="宋体"/>
        </w:rPr>
        <w:t>人负责与医院现有系统的对接，但不承担第三方收取的因对接工作收取的接口费</w:t>
      </w:r>
      <w:r>
        <w:rPr>
          <w:rFonts w:hint="eastAsia" w:ascii="宋体" w:hAnsi="宋体" w:eastAsia="宋体" w:cs="宋体"/>
          <w:lang w:eastAsia="zh-CN"/>
        </w:rPr>
        <w:t>。</w:t>
      </w:r>
    </w:p>
    <w:p>
      <w:pPr>
        <w:numPr>
          <w:ilvl w:val="0"/>
          <w:numId w:val="5"/>
        </w:numPr>
        <w:bidi w:val="0"/>
        <w:rPr>
          <w:rFonts w:hint="eastAsia" w:ascii="宋体" w:hAnsi="宋体" w:eastAsia="宋体" w:cs="宋体"/>
        </w:rPr>
      </w:pPr>
      <w:r>
        <w:rPr>
          <w:rFonts w:hint="eastAsia" w:ascii="宋体" w:hAnsi="宋体" w:eastAsia="宋体" w:cs="宋体"/>
          <w:lang w:val="en-US" w:eastAsia="zh-CN"/>
        </w:rPr>
        <w:t>报价</w:t>
      </w:r>
      <w:r>
        <w:rPr>
          <w:rFonts w:hint="eastAsia" w:ascii="宋体" w:hAnsi="宋体" w:eastAsia="宋体" w:cs="宋体"/>
        </w:rPr>
        <w:t>人有良好的售后服务能力，需提供全年7天24小时服务（电话、远程或现场），并在接到招标人通知后</w:t>
      </w:r>
      <w:r>
        <w:rPr>
          <w:rFonts w:hint="eastAsia" w:ascii="宋体" w:hAnsi="宋体" w:eastAsia="宋体" w:cs="宋体"/>
          <w:lang w:val="en-US" w:eastAsia="zh-CN"/>
        </w:rPr>
        <w:t>2</w:t>
      </w:r>
      <w:r>
        <w:rPr>
          <w:rFonts w:hint="eastAsia" w:ascii="宋体" w:hAnsi="宋体" w:eastAsia="宋体" w:cs="宋体"/>
        </w:rPr>
        <w:t>4小时内到达现场。项目验收合格后，每年不低于</w:t>
      </w:r>
      <w:r>
        <w:rPr>
          <w:rFonts w:hint="eastAsia" w:ascii="宋体" w:hAnsi="宋体" w:eastAsia="宋体" w:cs="宋体"/>
          <w:lang w:val="en-US" w:eastAsia="zh-CN"/>
        </w:rPr>
        <w:t>2</w:t>
      </w:r>
      <w:r>
        <w:rPr>
          <w:rFonts w:hint="eastAsia" w:ascii="宋体" w:hAnsi="宋体" w:eastAsia="宋体" w:cs="宋体"/>
        </w:rPr>
        <w:t>次的例行维护及巡检。</w:t>
      </w:r>
    </w:p>
    <w:p>
      <w:pPr>
        <w:numPr>
          <w:ilvl w:val="0"/>
          <w:numId w:val="5"/>
        </w:numPr>
        <w:bidi w:val="0"/>
        <w:rPr>
          <w:rFonts w:hint="eastAsia" w:ascii="宋体" w:hAnsi="宋体" w:eastAsia="宋体" w:cs="宋体"/>
          <w:lang w:val="en-US" w:eastAsia="zh-CN"/>
        </w:rPr>
      </w:pPr>
      <w:r>
        <w:rPr>
          <w:rFonts w:hint="eastAsia" w:ascii="宋体" w:hAnsi="宋体" w:eastAsia="宋体" w:cs="宋体"/>
        </w:rPr>
        <w:t>培训：根据医院的情况制定相关培训方案，课程设置等。所有的培训费用必须计入</w:t>
      </w:r>
      <w:r>
        <w:rPr>
          <w:rFonts w:hint="eastAsia" w:ascii="宋体" w:hAnsi="宋体" w:eastAsia="宋体" w:cs="宋体"/>
          <w:lang w:val="en-US" w:eastAsia="zh-CN"/>
        </w:rPr>
        <w:t>报价</w:t>
      </w:r>
      <w:r>
        <w:rPr>
          <w:rFonts w:hint="eastAsia" w:ascii="宋体" w:hAnsi="宋体" w:eastAsia="宋体" w:cs="宋体"/>
        </w:rPr>
        <w:t>总价。</w:t>
      </w:r>
    </w:p>
    <w:p>
      <w:pPr>
        <w:pStyle w:val="2"/>
        <w:bidi w:val="0"/>
        <w:ind w:left="0" w:leftChars="0" w:firstLine="0" w:firstLineChars="0"/>
        <w:rPr>
          <w:rFonts w:hint="eastAsia" w:ascii="宋体" w:hAnsi="宋体" w:eastAsia="宋体" w:cs="宋体"/>
        </w:rPr>
      </w:pPr>
      <w:r>
        <w:rPr>
          <w:rFonts w:hint="eastAsia" w:ascii="宋体" w:hAnsi="宋体" w:eastAsia="宋体" w:cs="宋体"/>
        </w:rPr>
        <w:t>评分标准</w:t>
      </w:r>
    </w:p>
    <w:p>
      <w:pPr>
        <w:pStyle w:val="3"/>
        <w:bidi w:val="0"/>
        <w:rPr>
          <w:rFonts w:hint="eastAsia" w:ascii="宋体" w:hAnsi="宋体" w:eastAsia="宋体" w:cs="宋体"/>
        </w:rPr>
      </w:pPr>
      <w:r>
        <w:rPr>
          <w:rFonts w:hint="eastAsia" w:ascii="宋体" w:hAnsi="宋体" w:eastAsia="宋体" w:cs="宋体"/>
        </w:rPr>
        <w:t>评标方法</w:t>
      </w:r>
    </w:p>
    <w:p>
      <w:pPr>
        <w:ind w:firstLine="480"/>
        <w:rPr>
          <w:rFonts w:hint="eastAsia" w:ascii="宋体" w:hAnsi="宋体" w:eastAsia="宋体" w:cs="宋体"/>
        </w:rPr>
      </w:pPr>
      <w:r>
        <w:rPr>
          <w:rFonts w:hint="eastAsia" w:ascii="宋体" w:hAnsi="宋体" w:eastAsia="宋体" w:cs="宋体"/>
        </w:rPr>
        <w:t>本次评标采用综合评分法，</w:t>
      </w:r>
      <w:r>
        <w:rPr>
          <w:rFonts w:hint="eastAsia" w:ascii="宋体" w:hAnsi="宋体" w:eastAsia="宋体" w:cs="宋体"/>
          <w:lang w:val="en-US" w:eastAsia="zh-CN"/>
        </w:rPr>
        <w:t>报价</w:t>
      </w:r>
      <w:r>
        <w:rPr>
          <w:rFonts w:hint="eastAsia" w:ascii="宋体" w:hAnsi="宋体" w:eastAsia="宋体" w:cs="宋体"/>
        </w:rPr>
        <w:t>文件满足招标文件全部实质性要求且按照评审因素的量化指标评审得分最高的</w:t>
      </w:r>
      <w:r>
        <w:rPr>
          <w:rFonts w:hint="eastAsia" w:ascii="宋体" w:hAnsi="宋体" w:eastAsia="宋体" w:cs="宋体"/>
          <w:lang w:val="en-US" w:eastAsia="zh-CN"/>
        </w:rPr>
        <w:t>报价</w:t>
      </w:r>
      <w:r>
        <w:rPr>
          <w:rFonts w:hint="eastAsia" w:ascii="宋体" w:hAnsi="宋体" w:eastAsia="宋体" w:cs="宋体"/>
          <w:lang w:eastAsia="zh-CN"/>
        </w:rPr>
        <w:t>人</w:t>
      </w:r>
      <w:r>
        <w:rPr>
          <w:rFonts w:hint="eastAsia" w:ascii="宋体" w:hAnsi="宋体" w:eastAsia="宋体" w:cs="宋体"/>
        </w:rPr>
        <w:t>为中标候选人。</w:t>
      </w:r>
    </w:p>
    <w:p>
      <w:pPr>
        <w:pStyle w:val="3"/>
        <w:bidi w:val="0"/>
        <w:rPr>
          <w:rFonts w:hint="eastAsia" w:ascii="宋体" w:hAnsi="宋体" w:eastAsia="宋体" w:cs="宋体"/>
        </w:rPr>
      </w:pPr>
      <w:r>
        <w:rPr>
          <w:rFonts w:hint="eastAsia" w:ascii="宋体" w:hAnsi="宋体" w:eastAsia="宋体" w:cs="宋体"/>
        </w:rPr>
        <w:t>评分标准</w:t>
      </w:r>
    </w:p>
    <w:p>
      <w:pPr>
        <w:ind w:firstLine="480"/>
        <w:rPr>
          <w:rFonts w:hint="eastAsia" w:ascii="宋体" w:hAnsi="宋体" w:eastAsia="宋体" w:cs="宋体"/>
        </w:rPr>
      </w:pPr>
      <w:r>
        <w:rPr>
          <w:rFonts w:hint="eastAsia" w:ascii="宋体" w:hAnsi="宋体" w:eastAsia="宋体" w:cs="宋体"/>
        </w:rPr>
        <w:t>共100分，其中商务技术分</w:t>
      </w:r>
      <w:r>
        <w:rPr>
          <w:rFonts w:hint="eastAsia" w:ascii="宋体" w:hAnsi="宋体" w:eastAsia="宋体" w:cs="宋体"/>
          <w:lang w:val="en-US" w:eastAsia="zh-CN"/>
        </w:rPr>
        <w:t>9</w:t>
      </w:r>
      <w:r>
        <w:rPr>
          <w:rFonts w:hint="eastAsia" w:ascii="宋体" w:hAnsi="宋体" w:eastAsia="宋体" w:cs="宋体"/>
        </w:rPr>
        <w:t>0分，价格分</w:t>
      </w:r>
      <w:r>
        <w:rPr>
          <w:rFonts w:hint="eastAsia" w:ascii="宋体" w:hAnsi="宋体" w:eastAsia="宋体" w:cs="宋体"/>
          <w:lang w:val="en-US" w:eastAsia="zh-CN"/>
        </w:rPr>
        <w:t>1</w:t>
      </w:r>
      <w:r>
        <w:rPr>
          <w:rFonts w:hint="eastAsia" w:ascii="宋体" w:hAnsi="宋体" w:eastAsia="宋体" w:cs="宋体"/>
        </w:rPr>
        <w:t>0分。评分依下述所列为评标打分依据。</w:t>
      </w:r>
    </w:p>
    <w:p>
      <w:pPr>
        <w:pStyle w:val="4"/>
        <w:bidi w:val="0"/>
        <w:rPr>
          <w:rFonts w:hint="eastAsia" w:ascii="宋体" w:hAnsi="宋体" w:eastAsia="宋体" w:cs="宋体"/>
        </w:rPr>
      </w:pPr>
      <w:r>
        <w:rPr>
          <w:rFonts w:hint="eastAsia" w:ascii="宋体" w:hAnsi="宋体" w:eastAsia="宋体" w:cs="宋体"/>
        </w:rPr>
        <w:t>价格分</w:t>
      </w:r>
      <w:r>
        <w:rPr>
          <w:rFonts w:hint="eastAsia" w:ascii="宋体" w:hAnsi="宋体" w:eastAsia="宋体" w:cs="宋体"/>
          <w:lang w:val="en-US" w:eastAsia="zh-CN"/>
        </w:rPr>
        <w:t>1</w:t>
      </w:r>
      <w:r>
        <w:rPr>
          <w:rFonts w:hint="eastAsia" w:ascii="宋体" w:hAnsi="宋体" w:eastAsia="宋体" w:cs="宋体"/>
        </w:rPr>
        <w:t>0分</w:t>
      </w:r>
    </w:p>
    <w:p>
      <w:pPr>
        <w:ind w:firstLine="480"/>
        <w:rPr>
          <w:rFonts w:hint="eastAsia" w:ascii="宋体" w:hAnsi="宋体" w:eastAsia="宋体" w:cs="宋体"/>
        </w:rPr>
      </w:pPr>
      <w:r>
        <w:rPr>
          <w:rFonts w:hint="eastAsia" w:ascii="宋体" w:hAnsi="宋体" w:eastAsia="宋体" w:cs="宋体"/>
        </w:rPr>
        <w:t>不超过采购预算，满足</w:t>
      </w:r>
      <w:r>
        <w:rPr>
          <w:rFonts w:hint="eastAsia" w:ascii="宋体" w:hAnsi="宋体" w:eastAsia="宋体" w:cs="宋体"/>
          <w:lang w:val="en-US" w:eastAsia="zh-CN"/>
        </w:rPr>
        <w:t>比选</w:t>
      </w:r>
      <w:r>
        <w:rPr>
          <w:rFonts w:hint="eastAsia" w:ascii="宋体" w:hAnsi="宋体" w:eastAsia="宋体" w:cs="宋体"/>
        </w:rPr>
        <w:t>文件要求且有效最终评审价格最低的为基准价。</w:t>
      </w:r>
    </w:p>
    <w:p>
      <w:pPr>
        <w:ind w:firstLine="480"/>
        <w:rPr>
          <w:rFonts w:hint="eastAsia" w:ascii="宋体" w:hAnsi="宋体" w:eastAsia="宋体" w:cs="宋体"/>
        </w:rPr>
      </w:pPr>
      <w:r>
        <w:rPr>
          <w:rFonts w:hint="eastAsia" w:ascii="宋体" w:hAnsi="宋体" w:eastAsia="宋体" w:cs="宋体"/>
        </w:rPr>
        <w:t>各</w:t>
      </w:r>
      <w:r>
        <w:rPr>
          <w:rFonts w:hint="eastAsia" w:ascii="宋体" w:hAnsi="宋体" w:eastAsia="宋体" w:cs="宋体"/>
          <w:lang w:val="en-US" w:eastAsia="zh-CN"/>
        </w:rPr>
        <w:t>报价</w:t>
      </w:r>
      <w:r>
        <w:rPr>
          <w:rFonts w:hint="eastAsia" w:ascii="宋体" w:hAnsi="宋体" w:eastAsia="宋体" w:cs="宋体"/>
          <w:lang w:eastAsia="zh-CN"/>
        </w:rPr>
        <w:t>人</w:t>
      </w:r>
      <w:r>
        <w:rPr>
          <w:rFonts w:hint="eastAsia" w:ascii="宋体" w:hAnsi="宋体" w:eastAsia="宋体" w:cs="宋体"/>
        </w:rPr>
        <w:t>的价格分统一按照下列公式计算：</w:t>
      </w:r>
    </w:p>
    <w:p>
      <w:pPr>
        <w:ind w:firstLine="482"/>
        <w:rPr>
          <w:rFonts w:hint="eastAsia" w:ascii="宋体" w:hAnsi="宋体" w:eastAsia="宋体" w:cs="宋体"/>
          <w:b/>
        </w:rPr>
      </w:pPr>
      <w:r>
        <w:rPr>
          <w:rFonts w:hint="eastAsia" w:ascii="宋体" w:hAnsi="宋体" w:eastAsia="宋体" w:cs="宋体"/>
        </w:rPr>
        <w:t>价格部分得分=基准价/各</w:t>
      </w:r>
      <w:r>
        <w:rPr>
          <w:rFonts w:hint="eastAsia" w:ascii="宋体" w:hAnsi="宋体" w:eastAsia="宋体" w:cs="宋体"/>
          <w:lang w:val="en-US" w:eastAsia="zh-CN"/>
        </w:rPr>
        <w:t>报价</w:t>
      </w:r>
      <w:r>
        <w:rPr>
          <w:rFonts w:hint="eastAsia" w:ascii="宋体" w:hAnsi="宋体" w:eastAsia="宋体" w:cs="宋体"/>
          <w:lang w:eastAsia="zh-CN"/>
        </w:rPr>
        <w:t>人</w:t>
      </w:r>
      <w:r>
        <w:rPr>
          <w:rFonts w:hint="eastAsia" w:ascii="宋体" w:hAnsi="宋体" w:eastAsia="宋体" w:cs="宋体"/>
        </w:rPr>
        <w:t>最终评审价格×</w:t>
      </w:r>
      <w:r>
        <w:rPr>
          <w:rFonts w:hint="eastAsia" w:ascii="宋体" w:hAnsi="宋体" w:eastAsia="宋体" w:cs="宋体"/>
          <w:lang w:val="en-US" w:eastAsia="zh-CN"/>
        </w:rPr>
        <w:t>1</w:t>
      </w:r>
      <w:r>
        <w:rPr>
          <w:rFonts w:hint="eastAsia" w:ascii="宋体" w:hAnsi="宋体" w:eastAsia="宋体" w:cs="宋体"/>
        </w:rPr>
        <w:t>0。</w:t>
      </w:r>
    </w:p>
    <w:p>
      <w:pPr>
        <w:pStyle w:val="4"/>
        <w:bidi w:val="0"/>
        <w:rPr>
          <w:rFonts w:hint="eastAsia" w:ascii="宋体" w:hAnsi="宋体" w:eastAsia="宋体" w:cs="宋体"/>
        </w:rPr>
      </w:pPr>
      <w:r>
        <w:rPr>
          <w:rFonts w:hint="eastAsia" w:ascii="宋体" w:hAnsi="宋体" w:eastAsia="宋体" w:cs="宋体"/>
        </w:rPr>
        <w:t>商务</w:t>
      </w:r>
      <w:r>
        <w:rPr>
          <w:rFonts w:hint="eastAsia" w:ascii="宋体" w:hAnsi="宋体" w:eastAsia="宋体" w:cs="宋体"/>
          <w:lang w:val="en-US" w:eastAsia="zh-CN"/>
        </w:rPr>
        <w:t>技术</w:t>
      </w:r>
      <w:r>
        <w:rPr>
          <w:rFonts w:hint="eastAsia" w:ascii="宋体" w:hAnsi="宋体" w:eastAsia="宋体" w:cs="宋体"/>
        </w:rPr>
        <w:t>分</w:t>
      </w:r>
      <w:r>
        <w:rPr>
          <w:rFonts w:hint="eastAsia" w:ascii="宋体" w:hAnsi="宋体" w:eastAsia="宋体" w:cs="宋体"/>
          <w:lang w:val="en-US" w:eastAsia="zh-CN"/>
        </w:rPr>
        <w:t>9</w:t>
      </w:r>
      <w:r>
        <w:rPr>
          <w:rFonts w:hint="eastAsia" w:ascii="宋体" w:hAnsi="宋体" w:eastAsia="宋体" w:cs="宋体"/>
        </w:rPr>
        <w:t>0分</w:t>
      </w:r>
    </w:p>
    <w:tbl>
      <w:tblPr>
        <w:tblStyle w:val="1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73"/>
        <w:gridCol w:w="6093"/>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46" w:type="pct"/>
            <w:tcBorders>
              <w:top w:val="single" w:color="000000" w:sz="4" w:space="0"/>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评分项目</w:t>
            </w:r>
          </w:p>
        </w:tc>
        <w:tc>
          <w:tcPr>
            <w:tcW w:w="3574" w:type="pct"/>
            <w:tcBorders>
              <w:top w:val="single" w:color="000000"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评标要点及说明</w:t>
            </w:r>
          </w:p>
        </w:tc>
        <w:tc>
          <w:tcPr>
            <w:tcW w:w="678" w:type="pct"/>
            <w:tcBorders>
              <w:top w:val="single" w:color="000000" w:sz="4" w:space="0"/>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6" w:type="pct"/>
            <w:vMerge w:val="restar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企业及产品认证</w:t>
            </w:r>
          </w:p>
        </w:tc>
        <w:tc>
          <w:tcPr>
            <w:tcW w:w="3574"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报价人或原厂厂家具有有效的</w:t>
            </w:r>
          </w:p>
        </w:tc>
        <w:tc>
          <w:tcPr>
            <w:tcW w:w="678" w:type="pct"/>
            <w:vMerge w:val="restar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6"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574"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①</w:t>
            </w:r>
            <w:r>
              <w:rPr>
                <w:rFonts w:hint="eastAsia" w:ascii="宋体" w:hAnsi="宋体" w:eastAsia="宋体" w:cs="宋体"/>
                <w:color w:val="000000"/>
                <w:kern w:val="0"/>
                <w:sz w:val="21"/>
                <w:szCs w:val="21"/>
                <w:highlight w:val="none"/>
                <w:lang w:val="en-US" w:eastAsia="zh-CN" w:bidi="ar"/>
              </w:rPr>
              <w:t>投标人具有有效期内的服务管理体系认证证书，得 3 分，否则不得分；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6"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574"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jc w:val="left"/>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②</w:t>
            </w:r>
            <w:r>
              <w:rPr>
                <w:rFonts w:hint="eastAsia" w:ascii="宋体" w:hAnsi="宋体" w:eastAsia="宋体" w:cs="宋体"/>
                <w:color w:val="000000"/>
                <w:kern w:val="0"/>
                <w:sz w:val="21"/>
                <w:szCs w:val="21"/>
                <w:highlight w:val="none"/>
                <w:lang w:val="en-US" w:eastAsia="zh-CN" w:bidi="ar"/>
              </w:rPr>
              <w:t>投标人具有有效期内的质量管理体系认证证书，得 3 分，否则不得分；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746"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574"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left"/>
              <w:rPr>
                <w:rFonts w:hint="eastAsia" w:ascii="宋体" w:hAnsi="宋体" w:eastAsia="宋体" w:cs="宋体"/>
                <w:i w:val="0"/>
                <w:iCs w:val="0"/>
                <w:color w:val="000000"/>
                <w:sz w:val="21"/>
                <w:szCs w:val="21"/>
                <w:highlight w:val="none"/>
                <w:u w:val="none"/>
              </w:rPr>
            </w:pPr>
            <w:r>
              <w:rPr>
                <w:rFonts w:hint="eastAsia" w:ascii="宋体" w:hAnsi="宋体" w:eastAsia="宋体" w:cs="宋体"/>
                <w:color w:val="000000"/>
                <w:kern w:val="0"/>
                <w:sz w:val="21"/>
                <w:szCs w:val="21"/>
                <w:highlight w:val="none"/>
                <w:lang w:val="en-US" w:eastAsia="zh-CN" w:bidi="ar"/>
              </w:rPr>
              <w:t>③投标人具有有效期内的信息安全管理体系认证证书，得 3 分，否则不得分；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5" w:hRule="atLeast"/>
        </w:trPr>
        <w:tc>
          <w:tcPr>
            <w:tcW w:w="746" w:type="pct"/>
            <w:tcBorders>
              <w:top w:val="nil"/>
              <w:left w:val="single" w:color="000000" w:sz="4" w:space="0"/>
              <w:bottom w:val="single" w:color="000000" w:sz="8" w:space="0"/>
              <w:right w:val="single" w:color="000000" w:sz="8" w:space="0"/>
            </w:tcBorders>
            <w:shd w:val="clear" w:color="auto" w:fill="auto"/>
            <w:vAlign w:val="center"/>
          </w:tcPr>
          <w:p>
            <w:pPr>
              <w:jc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产品著作权</w:t>
            </w:r>
          </w:p>
        </w:tc>
        <w:tc>
          <w:tcPr>
            <w:tcW w:w="3574"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4"/>
                <w:szCs w:val="24"/>
                <w:lang w:val="en-US" w:eastAsia="zh-CN" w:bidi="ar"/>
              </w:rPr>
              <w:t>投标人具有VTE管理类的著作权证书，</w:t>
            </w:r>
            <w:r>
              <w:rPr>
                <w:rFonts w:hint="eastAsia" w:ascii="宋体" w:hAnsi="宋体" w:eastAsia="宋体" w:cs="宋体"/>
                <w:color w:val="000000"/>
                <w:kern w:val="0"/>
                <w:sz w:val="21"/>
                <w:szCs w:val="21"/>
                <w:highlight w:val="none"/>
                <w:lang w:val="en-US" w:eastAsia="zh-CN" w:bidi="ar"/>
              </w:rPr>
              <w:t>得 5 分，否则不得分；</w:t>
            </w:r>
          </w:p>
        </w:tc>
        <w:tc>
          <w:tcPr>
            <w:tcW w:w="678" w:type="pct"/>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75" w:hRule="atLeast"/>
        </w:trPr>
        <w:tc>
          <w:tcPr>
            <w:tcW w:w="746" w:type="pc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Style w:val="23"/>
                <w:rFonts w:hint="eastAsia" w:ascii="宋体" w:hAnsi="宋体" w:cs="宋体"/>
                <w:highlight w:val="none"/>
                <w:lang w:val="en-US" w:eastAsia="zh-CN" w:bidi="ar"/>
              </w:rPr>
              <w:t>客户案例</w:t>
            </w:r>
          </w:p>
        </w:tc>
        <w:tc>
          <w:tcPr>
            <w:tcW w:w="3574" w:type="pct"/>
            <w:tcBorders>
              <w:top w:val="single" w:color="auto" w:sz="4"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cs="宋体"/>
                <w:kern w:val="0"/>
              </w:rPr>
            </w:pPr>
            <w:r>
              <w:rPr>
                <w:rFonts w:hint="eastAsia" w:ascii="宋体" w:hAnsi="宋体" w:cs="宋体"/>
                <w:kern w:val="0"/>
              </w:rPr>
              <w:t>投标人须具备</w:t>
            </w:r>
            <w:r>
              <w:rPr>
                <w:rFonts w:hint="eastAsia" w:ascii="宋体" w:hAnsi="宋体" w:cs="宋体"/>
                <w:kern w:val="0"/>
                <w:lang w:val="en-US" w:eastAsia="zh-CN"/>
              </w:rPr>
              <w:t>VTE防治管理</w:t>
            </w:r>
            <w:r>
              <w:rPr>
                <w:rFonts w:hint="eastAsia" w:ascii="宋体" w:hAnsi="宋体" w:cs="宋体"/>
                <w:kern w:val="0"/>
              </w:rPr>
              <w:t>系统合同案例，需提供合同复印件（复印件需包含</w:t>
            </w:r>
            <w:r>
              <w:rPr>
                <w:rFonts w:hint="eastAsia" w:ascii="宋体" w:hAnsi="宋体" w:cs="Arial"/>
                <w:kern w:val="0"/>
              </w:rPr>
              <w:t>合同首页、盖章页扫描件</w:t>
            </w:r>
            <w:r>
              <w:rPr>
                <w:rFonts w:hint="eastAsia" w:ascii="宋体" w:hAnsi="宋体" w:cs="宋体"/>
                <w:kern w:val="0"/>
              </w:rPr>
              <w:t>）等证明材料。</w:t>
            </w:r>
          </w:p>
          <w:p>
            <w:pPr>
              <w:keepNext w:val="0"/>
              <w:keepLines w:val="0"/>
              <w:widowControl/>
              <w:suppressLineNumbers w:val="0"/>
              <w:jc w:val="both"/>
              <w:textAlignment w:val="center"/>
              <w:rPr>
                <w:rFonts w:hint="eastAsia" w:ascii="宋体" w:hAnsi="宋体" w:eastAsia="宋体" w:cs="宋体"/>
                <w:sz w:val="21"/>
                <w:szCs w:val="21"/>
                <w:highlight w:val="none"/>
              </w:rPr>
            </w:pPr>
            <w:r>
              <w:rPr>
                <w:rFonts w:hint="eastAsia" w:ascii="宋体" w:hAnsi="宋体" w:cs="宋体"/>
                <w:b/>
                <w:bCs/>
                <w:kern w:val="0"/>
              </w:rPr>
              <w:t>提供</w:t>
            </w:r>
            <w:r>
              <w:rPr>
                <w:rFonts w:hint="eastAsia" w:ascii="宋体" w:hAnsi="宋体" w:cs="宋体"/>
                <w:b/>
                <w:bCs/>
                <w:kern w:val="0"/>
                <w:lang w:val="en-US" w:eastAsia="zh-CN"/>
              </w:rPr>
              <w:t>3</w:t>
            </w:r>
            <w:r>
              <w:rPr>
                <w:rFonts w:hint="eastAsia" w:ascii="宋体" w:hAnsi="宋体" w:cs="宋体"/>
                <w:b/>
                <w:bCs/>
                <w:kern w:val="0"/>
              </w:rPr>
              <w:t>份及以上</w:t>
            </w:r>
            <w:r>
              <w:rPr>
                <w:rFonts w:ascii="宋体" w:hAnsi="宋体" w:cs="宋体"/>
                <w:b/>
                <w:bCs/>
                <w:kern w:val="0"/>
              </w:rPr>
              <w:t>得</w:t>
            </w:r>
            <w:r>
              <w:rPr>
                <w:rFonts w:hint="eastAsia" w:ascii="宋体" w:hAnsi="宋体" w:cs="宋体"/>
                <w:b/>
                <w:bCs/>
                <w:kern w:val="0"/>
                <w:lang w:val="en-US" w:eastAsia="zh-CN"/>
              </w:rPr>
              <w:t>9</w:t>
            </w:r>
            <w:r>
              <w:rPr>
                <w:rFonts w:ascii="宋体" w:hAnsi="宋体" w:cs="宋体"/>
                <w:b/>
                <w:bCs/>
                <w:kern w:val="0"/>
              </w:rPr>
              <w:t>分，</w:t>
            </w:r>
            <w:r>
              <w:rPr>
                <w:rFonts w:hint="eastAsia" w:ascii="宋体" w:hAnsi="宋体" w:cs="宋体"/>
                <w:b/>
                <w:bCs/>
                <w:kern w:val="0"/>
              </w:rPr>
              <w:t>少一</w:t>
            </w:r>
            <w:r>
              <w:rPr>
                <w:rFonts w:hint="eastAsia" w:ascii="宋体" w:hAnsi="宋体" w:cs="宋体"/>
                <w:b/>
                <w:bCs/>
                <w:kern w:val="0"/>
                <w:lang w:val="en-US" w:eastAsia="zh-CN"/>
              </w:rPr>
              <w:t>份</w:t>
            </w:r>
            <w:r>
              <w:rPr>
                <w:rFonts w:hint="eastAsia" w:ascii="宋体" w:hAnsi="宋体" w:cs="宋体"/>
                <w:b/>
                <w:bCs/>
                <w:kern w:val="0"/>
              </w:rPr>
              <w:t>扣</w:t>
            </w:r>
            <w:r>
              <w:rPr>
                <w:rFonts w:hint="eastAsia" w:ascii="宋体" w:hAnsi="宋体" w:cs="宋体"/>
                <w:b/>
                <w:bCs/>
                <w:kern w:val="0"/>
                <w:lang w:val="en-US" w:eastAsia="zh-CN"/>
              </w:rPr>
              <w:t>3</w:t>
            </w:r>
            <w:r>
              <w:rPr>
                <w:rFonts w:hint="eastAsia" w:ascii="宋体" w:hAnsi="宋体" w:cs="宋体"/>
                <w:b/>
                <w:bCs/>
                <w:kern w:val="0"/>
              </w:rPr>
              <w:t>分扣完为止，</w:t>
            </w:r>
            <w:r>
              <w:rPr>
                <w:rFonts w:ascii="宋体" w:hAnsi="宋体" w:cs="宋体"/>
                <w:b/>
                <w:bCs/>
                <w:kern w:val="0"/>
              </w:rPr>
              <w:t>未提供不得分。</w:t>
            </w:r>
          </w:p>
        </w:tc>
        <w:tc>
          <w:tcPr>
            <w:tcW w:w="678" w:type="pc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cs="宋体"/>
                <w:i w:val="0"/>
                <w:iCs w:val="0"/>
                <w:color w:val="000000"/>
                <w:kern w:val="0"/>
                <w:sz w:val="21"/>
                <w:szCs w:val="21"/>
                <w:highlight w:val="none"/>
                <w:u w:val="none"/>
                <w:lang w:val="en-US" w:eastAsia="zh-CN" w:bidi="ar"/>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575" w:hRule="atLeast"/>
        </w:trPr>
        <w:tc>
          <w:tcPr>
            <w:tcW w:w="746" w:type="pc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Style w:val="23"/>
                <w:rFonts w:hint="default" w:ascii="宋体" w:hAnsi="宋体" w:eastAsia="宋体" w:cs="宋体"/>
                <w:highlight w:val="none"/>
                <w:lang w:val="en-US" w:eastAsia="zh-CN" w:bidi="ar"/>
              </w:rPr>
            </w:pPr>
            <w:r>
              <w:rPr>
                <w:rStyle w:val="23"/>
                <w:rFonts w:hint="eastAsia" w:ascii="宋体" w:hAnsi="宋体" w:eastAsia="宋体" w:cs="宋体"/>
                <w:highlight w:val="none"/>
                <w:lang w:val="en-US" w:eastAsia="zh-CN" w:bidi="ar"/>
              </w:rPr>
              <w:t>需求分析</w:t>
            </w:r>
          </w:p>
        </w:tc>
        <w:tc>
          <w:tcPr>
            <w:tcW w:w="3574" w:type="pct"/>
            <w:tcBorders>
              <w:top w:val="single" w:color="auto" w:sz="4" w:space="0"/>
              <w:left w:val="single" w:color="000000" w:sz="8" w:space="0"/>
              <w:bottom w:val="single" w:color="000000" w:sz="8" w:space="0"/>
              <w:right w:val="single" w:color="000000" w:sz="8" w:space="0"/>
            </w:tcBorders>
            <w:shd w:val="clear" w:color="auto" w:fill="auto"/>
            <w:vAlign w:val="center"/>
          </w:tcPr>
          <w:p>
            <w:pPr>
              <w:rPr>
                <w:rFonts w:hint="default" w:ascii="宋体" w:hAnsi="宋体" w:eastAsia="宋体" w:cs="宋体"/>
                <w:kern w:val="0"/>
                <w:highlight w:val="none"/>
                <w:lang w:val="en-US" w:eastAsia="zh-CN"/>
              </w:rPr>
            </w:pPr>
            <w:r>
              <w:rPr>
                <w:rFonts w:hint="eastAsia" w:ascii="宋体" w:hAnsi="宋体" w:cs="宋体"/>
                <w:kern w:val="0"/>
                <w:highlight w:val="none"/>
                <w:lang w:val="en-US" w:eastAsia="zh-CN"/>
              </w:rPr>
              <w:t>针对本项目需求分析及建设目标理解等内容进行评价：</w:t>
            </w:r>
          </w:p>
          <w:p>
            <w:pPr>
              <w:rPr>
                <w:rFonts w:ascii="宋体" w:hAnsi="宋体" w:cs="宋体"/>
                <w:kern w:val="0"/>
                <w:highlight w:val="none"/>
              </w:rPr>
            </w:pPr>
            <w:r>
              <w:rPr>
                <w:rFonts w:hint="eastAsia" w:ascii="宋体" w:hAnsi="宋体" w:cs="宋体"/>
                <w:kern w:val="0"/>
                <w:highlight w:val="none"/>
              </w:rPr>
              <w:t>建设目标需求理解透彻，建设目标描述</w:t>
            </w:r>
            <w:r>
              <w:rPr>
                <w:rFonts w:hint="eastAsia" w:ascii="宋体" w:hAnsi="宋体" w:cs="宋体"/>
                <w:kern w:val="0"/>
                <w:highlight w:val="none"/>
                <w:lang w:val="en-US" w:eastAsia="zh-CN"/>
              </w:rPr>
              <w:t>清楚</w:t>
            </w:r>
            <w:r>
              <w:rPr>
                <w:rFonts w:hint="eastAsia" w:ascii="宋体" w:hAnsi="宋体" w:cs="宋体"/>
                <w:kern w:val="0"/>
                <w:highlight w:val="none"/>
              </w:rPr>
              <w:t>得</w:t>
            </w:r>
            <w:r>
              <w:rPr>
                <w:rFonts w:hint="eastAsia" w:ascii="宋体" w:hAnsi="宋体" w:cs="宋体"/>
                <w:highlight w:val="none"/>
                <w:lang w:val="en-US" w:eastAsia="zh-CN"/>
              </w:rPr>
              <w:t>7</w:t>
            </w:r>
            <w:r>
              <w:rPr>
                <w:rFonts w:hint="eastAsia" w:ascii="宋体" w:hAnsi="宋体" w:cs="宋体"/>
                <w:kern w:val="0"/>
                <w:highlight w:val="none"/>
              </w:rPr>
              <w:t>分。</w:t>
            </w:r>
          </w:p>
          <w:p>
            <w:pPr>
              <w:rPr>
                <w:rFonts w:ascii="宋体" w:hAnsi="宋体" w:cs="宋体"/>
                <w:kern w:val="0"/>
                <w:highlight w:val="none"/>
              </w:rPr>
            </w:pPr>
            <w:r>
              <w:rPr>
                <w:rFonts w:hint="eastAsia" w:ascii="宋体" w:hAnsi="宋体" w:cs="宋体"/>
                <w:kern w:val="0"/>
                <w:highlight w:val="none"/>
              </w:rPr>
              <w:t>建设目标需求理解到位，建设目标描述到位得</w:t>
            </w:r>
            <w:r>
              <w:rPr>
                <w:rFonts w:hint="eastAsia" w:ascii="宋体" w:hAnsi="宋体" w:cs="宋体"/>
                <w:highlight w:val="none"/>
                <w:lang w:val="en-US" w:eastAsia="zh-CN"/>
              </w:rPr>
              <w:t>4</w:t>
            </w:r>
            <w:r>
              <w:rPr>
                <w:rFonts w:hint="eastAsia" w:ascii="宋体" w:hAnsi="宋体" w:cs="宋体"/>
                <w:kern w:val="0"/>
                <w:highlight w:val="none"/>
              </w:rPr>
              <w:t>分；</w:t>
            </w:r>
          </w:p>
          <w:p>
            <w:pPr>
              <w:rPr>
                <w:rFonts w:ascii="宋体" w:hAnsi="宋体" w:cs="宋体"/>
                <w:kern w:val="0"/>
                <w:highlight w:val="none"/>
              </w:rPr>
            </w:pPr>
            <w:r>
              <w:rPr>
                <w:rFonts w:hint="eastAsia" w:ascii="宋体" w:hAnsi="宋体" w:cs="宋体"/>
                <w:kern w:val="0"/>
                <w:highlight w:val="none"/>
              </w:rPr>
              <w:t>建设目标需求理解一般，建设目标有缺漏得</w:t>
            </w:r>
            <w:r>
              <w:rPr>
                <w:rFonts w:hint="eastAsia" w:ascii="宋体" w:hAnsi="宋体" w:cs="宋体"/>
                <w:highlight w:val="none"/>
                <w:lang w:val="en-US" w:eastAsia="zh-CN"/>
              </w:rPr>
              <w:t>2</w:t>
            </w:r>
            <w:r>
              <w:rPr>
                <w:rFonts w:hint="eastAsia" w:ascii="宋体" w:hAnsi="宋体" w:cs="宋体"/>
                <w:kern w:val="0"/>
                <w:highlight w:val="none"/>
              </w:rPr>
              <w:t>分；</w:t>
            </w:r>
          </w:p>
          <w:p>
            <w:pPr>
              <w:keepNext w:val="0"/>
              <w:keepLines w:val="0"/>
              <w:widowControl/>
              <w:suppressLineNumbers w:val="0"/>
              <w:jc w:val="both"/>
              <w:textAlignment w:val="center"/>
              <w:rPr>
                <w:rFonts w:hint="eastAsia" w:ascii="宋体" w:hAnsi="宋体" w:eastAsia="宋体" w:cs="宋体"/>
                <w:sz w:val="21"/>
                <w:szCs w:val="21"/>
                <w:highlight w:val="none"/>
              </w:rPr>
            </w:pPr>
            <w:r>
              <w:rPr>
                <w:rFonts w:hint="eastAsia" w:ascii="宋体" w:hAnsi="宋体" w:cs="宋体"/>
                <w:kern w:val="0"/>
                <w:highlight w:val="none"/>
              </w:rPr>
              <w:t>建设目标需求理解有偏差，不合理得</w:t>
            </w:r>
            <w:r>
              <w:rPr>
                <w:rFonts w:hint="eastAsia" w:ascii="宋体" w:hAnsi="宋体" w:cs="宋体"/>
                <w:highlight w:val="none"/>
                <w:lang w:val="en-US" w:eastAsia="zh-CN"/>
              </w:rPr>
              <w:t>0</w:t>
            </w:r>
            <w:r>
              <w:rPr>
                <w:rFonts w:hint="eastAsia" w:ascii="宋体" w:hAnsi="宋体" w:cs="宋体"/>
                <w:kern w:val="0"/>
                <w:highlight w:val="none"/>
              </w:rPr>
              <w:t>分；</w:t>
            </w:r>
          </w:p>
        </w:tc>
        <w:tc>
          <w:tcPr>
            <w:tcW w:w="678" w:type="pc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746" w:type="pc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技术响应部分</w:t>
            </w:r>
          </w:p>
        </w:tc>
        <w:tc>
          <w:tcPr>
            <w:tcW w:w="357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根据报价人对项目技术要求、功能要求的具体响应情况。</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(1) 项目完全符合技术要求、满足功能需要，得 20 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(2) 项目部分符合技术要求、满足功能需要，得 1</w:t>
            </w:r>
            <w:r>
              <w:rPr>
                <w:rFonts w:hint="eastAsia" w:ascii="宋体" w:hAnsi="宋体" w:cs="宋体"/>
                <w:i w:val="0"/>
                <w:iCs w:val="0"/>
                <w:color w:val="000000"/>
                <w:kern w:val="0"/>
                <w:sz w:val="21"/>
                <w:szCs w:val="21"/>
                <w:highlight w:val="none"/>
                <w:u w:val="none"/>
                <w:lang w:val="en-US" w:eastAsia="zh-CN" w:bidi="ar"/>
              </w:rPr>
              <w:t>5</w:t>
            </w:r>
            <w:r>
              <w:rPr>
                <w:rFonts w:hint="eastAsia" w:ascii="宋体" w:hAnsi="宋体" w:eastAsia="宋体" w:cs="宋体"/>
                <w:i w:val="0"/>
                <w:iCs w:val="0"/>
                <w:color w:val="000000"/>
                <w:kern w:val="0"/>
                <w:sz w:val="21"/>
                <w:szCs w:val="21"/>
                <w:highlight w:val="none"/>
                <w:u w:val="none"/>
                <w:lang w:val="en-US" w:eastAsia="zh-CN" w:bidi="ar"/>
              </w:rPr>
              <w:t>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 xml:space="preserve">(3) 项目基本符合技术要求、符合部分功能需要，得 </w:t>
            </w:r>
            <w:r>
              <w:rPr>
                <w:rFonts w:hint="eastAsia" w:ascii="宋体" w:hAnsi="宋体" w:cs="宋体"/>
                <w:i w:val="0"/>
                <w:iCs w:val="0"/>
                <w:color w:val="000000"/>
                <w:kern w:val="0"/>
                <w:sz w:val="21"/>
                <w:szCs w:val="21"/>
                <w:highlight w:val="none"/>
                <w:u w:val="none"/>
                <w:lang w:val="en-US" w:eastAsia="zh-CN" w:bidi="ar"/>
              </w:rPr>
              <w:t>8</w:t>
            </w:r>
            <w:r>
              <w:rPr>
                <w:rFonts w:hint="eastAsia" w:ascii="宋体" w:hAnsi="宋体" w:eastAsia="宋体" w:cs="宋体"/>
                <w:i w:val="0"/>
                <w:iCs w:val="0"/>
                <w:color w:val="000000"/>
                <w:kern w:val="0"/>
                <w:sz w:val="21"/>
                <w:szCs w:val="21"/>
                <w:highlight w:val="none"/>
                <w:u w:val="none"/>
                <w:lang w:val="en-US" w:eastAsia="zh-CN" w:bidi="ar"/>
              </w:rPr>
              <w:t>分。</w:t>
            </w:r>
          </w:p>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 完全不符合功能需要，得 0 分。</w:t>
            </w:r>
          </w:p>
        </w:tc>
        <w:tc>
          <w:tcPr>
            <w:tcW w:w="678" w:type="pc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46" w:type="pct"/>
            <w:vMerge w:val="restar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实施方案</w:t>
            </w:r>
          </w:p>
        </w:tc>
        <w:tc>
          <w:tcPr>
            <w:tcW w:w="3574"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kern w:val="0"/>
                <w:highlight w:val="none"/>
                <w:lang w:bidi="ar"/>
              </w:rPr>
              <w:t>针对本项目</w:t>
            </w:r>
            <w:r>
              <w:rPr>
                <w:rFonts w:hint="eastAsia" w:ascii="宋体" w:hAnsi="宋体" w:eastAsia="宋体" w:cs="宋体"/>
                <w:kern w:val="0"/>
                <w:sz w:val="24"/>
                <w:szCs w:val="24"/>
                <w:highlight w:val="none"/>
              </w:rPr>
              <w:t>实施进度、人员安排、质量控制、应急处理、组织保障</w:t>
            </w:r>
            <w:r>
              <w:rPr>
                <w:rFonts w:hint="eastAsia" w:ascii="宋体" w:hAnsi="宋体" w:eastAsia="宋体" w:cs="宋体"/>
                <w:kern w:val="0"/>
                <w:highlight w:val="none"/>
                <w:lang w:bidi="ar"/>
              </w:rPr>
              <w:t>等内容进行评价：</w:t>
            </w:r>
          </w:p>
        </w:tc>
        <w:tc>
          <w:tcPr>
            <w:tcW w:w="678" w:type="pct"/>
            <w:vMerge w:val="restar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6"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574"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kern w:val="0"/>
                <w:highlight w:val="none"/>
              </w:rPr>
              <w:t>完全满足要求，且每一条都有具体详细的服务</w:t>
            </w:r>
            <w:r>
              <w:rPr>
                <w:rFonts w:hint="eastAsia" w:ascii="宋体" w:hAnsi="宋体" w:eastAsia="宋体" w:cs="宋体"/>
                <w:kern w:val="0"/>
                <w:highlight w:val="none"/>
                <w:lang w:val="en-US" w:eastAsia="zh-CN"/>
              </w:rPr>
              <w:t>措施</w:t>
            </w:r>
            <w:r>
              <w:rPr>
                <w:rFonts w:hint="eastAsia" w:ascii="宋体" w:hAnsi="宋体" w:eastAsia="宋体" w:cs="宋体"/>
                <w:kern w:val="0"/>
                <w:highlight w:val="none"/>
              </w:rPr>
              <w:t>或实施方案，</w:t>
            </w:r>
            <w:r>
              <w:rPr>
                <w:rFonts w:hint="eastAsia" w:ascii="宋体" w:hAnsi="宋体" w:eastAsia="宋体" w:cs="宋体"/>
                <w:kern w:val="0"/>
                <w:highlight w:val="none"/>
                <w:lang w:val="en-US" w:eastAsia="zh-CN"/>
              </w:rPr>
              <w:t>内容</w:t>
            </w:r>
            <w:r>
              <w:rPr>
                <w:rFonts w:hint="eastAsia" w:ascii="宋体" w:hAnsi="宋体" w:eastAsia="宋体" w:cs="宋体"/>
                <w:kern w:val="0"/>
                <w:highlight w:val="none"/>
              </w:rPr>
              <w:t>科学合理有针对性</w:t>
            </w:r>
            <w:r>
              <w:rPr>
                <w:rFonts w:hint="eastAsia" w:ascii="宋体" w:hAnsi="宋体" w:eastAsia="宋体" w:cs="宋体"/>
                <w:kern w:val="0"/>
                <w:highlight w:val="none"/>
                <w:shd w:val="clear"/>
              </w:rPr>
              <w:t>得</w:t>
            </w:r>
            <w:r>
              <w:rPr>
                <w:rFonts w:hint="eastAsia" w:ascii="宋体" w:hAnsi="宋体" w:eastAsia="宋体" w:cs="宋体"/>
                <w:highlight w:val="none"/>
                <w:shd w:val="clear"/>
                <w:lang w:val="en-US" w:eastAsia="zh-CN"/>
              </w:rPr>
              <w:t>1</w:t>
            </w:r>
            <w:r>
              <w:rPr>
                <w:rFonts w:hint="eastAsia" w:ascii="宋体" w:hAnsi="宋体" w:cs="宋体"/>
                <w:highlight w:val="none"/>
                <w:shd w:val="clear"/>
                <w:lang w:val="en-US" w:eastAsia="zh-CN"/>
              </w:rPr>
              <w:t>5</w:t>
            </w:r>
            <w:r>
              <w:rPr>
                <w:rFonts w:hint="eastAsia" w:ascii="宋体" w:hAnsi="宋体" w:eastAsia="宋体" w:cs="宋体"/>
                <w:kern w:val="0"/>
                <w:highlight w:val="none"/>
                <w:shd w:val="clear"/>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6"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574"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kern w:val="0"/>
                <w:highlight w:val="none"/>
              </w:rPr>
              <w:t>满足要求，服务</w:t>
            </w:r>
            <w:r>
              <w:rPr>
                <w:rFonts w:hint="eastAsia" w:ascii="宋体" w:hAnsi="宋体" w:eastAsia="宋体" w:cs="宋体"/>
                <w:kern w:val="0"/>
                <w:highlight w:val="none"/>
                <w:lang w:val="en-US" w:eastAsia="zh-CN"/>
              </w:rPr>
              <w:t>措施或</w:t>
            </w:r>
            <w:r>
              <w:rPr>
                <w:rFonts w:hint="eastAsia" w:ascii="宋体" w:hAnsi="宋体" w:eastAsia="宋体" w:cs="宋体"/>
                <w:kern w:val="0"/>
                <w:highlight w:val="none"/>
              </w:rPr>
              <w:t>实施方案合理得</w:t>
            </w:r>
            <w:r>
              <w:rPr>
                <w:rFonts w:hint="eastAsia" w:ascii="宋体" w:hAnsi="宋体" w:cs="宋体"/>
                <w:kern w:val="0"/>
                <w:highlight w:val="none"/>
                <w:lang w:val="en-US" w:eastAsia="zh-CN"/>
              </w:rPr>
              <w:t>10</w:t>
            </w:r>
            <w:r>
              <w:rPr>
                <w:rFonts w:hint="eastAsia" w:ascii="宋体" w:hAnsi="宋体" w:eastAsia="宋体" w:cs="宋体"/>
                <w:kern w:val="0"/>
                <w:highlight w:val="none"/>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6"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574"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kern w:val="0"/>
                <w:highlight w:val="none"/>
              </w:rPr>
              <w:t>基本满足要求，服务</w:t>
            </w:r>
            <w:r>
              <w:rPr>
                <w:rFonts w:hint="eastAsia" w:ascii="宋体" w:hAnsi="宋体" w:eastAsia="宋体" w:cs="宋体"/>
                <w:kern w:val="0"/>
                <w:highlight w:val="none"/>
                <w:lang w:val="en-US" w:eastAsia="zh-CN"/>
              </w:rPr>
              <w:t>措施或</w:t>
            </w:r>
            <w:r>
              <w:rPr>
                <w:rFonts w:hint="eastAsia" w:ascii="宋体" w:hAnsi="宋体" w:eastAsia="宋体" w:cs="宋体"/>
                <w:kern w:val="0"/>
                <w:highlight w:val="none"/>
              </w:rPr>
              <w:t>实施方案有缺漏得</w:t>
            </w:r>
            <w:r>
              <w:rPr>
                <w:rFonts w:hint="eastAsia" w:ascii="宋体" w:hAnsi="宋体" w:cs="宋体"/>
                <w:highlight w:val="none"/>
                <w:lang w:val="en-US" w:eastAsia="zh-CN"/>
              </w:rPr>
              <w:t>5</w:t>
            </w:r>
            <w:r>
              <w:rPr>
                <w:rFonts w:hint="eastAsia" w:ascii="宋体" w:hAnsi="宋体" w:eastAsia="宋体" w:cs="宋体"/>
                <w:kern w:val="0"/>
                <w:highlight w:val="none"/>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6"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574" w:type="pc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kern w:val="0"/>
                <w:highlight w:val="none"/>
              </w:rPr>
              <w:t>未提供服务内容承诺或实施方案得</w:t>
            </w:r>
            <w:r>
              <w:rPr>
                <w:rFonts w:hint="eastAsia" w:ascii="宋体" w:hAnsi="宋体" w:eastAsia="宋体" w:cs="宋体"/>
                <w:highlight w:val="none"/>
                <w:lang w:val="en-US" w:eastAsia="zh-CN"/>
              </w:rPr>
              <w:t>0</w:t>
            </w:r>
            <w:r>
              <w:rPr>
                <w:rFonts w:hint="eastAsia" w:ascii="宋体" w:hAnsi="宋体" w:eastAsia="宋体" w:cs="宋体"/>
                <w:kern w:val="0"/>
                <w:highlight w:val="none"/>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746" w:type="pct"/>
            <w:vMerge w:val="restart"/>
            <w:tcBorders>
              <w:top w:val="nil"/>
              <w:left w:val="single" w:color="000000"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培训方案</w:t>
            </w:r>
          </w:p>
        </w:tc>
        <w:tc>
          <w:tcPr>
            <w:tcW w:w="3574"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line="276" w:lineRule="auto"/>
              <w:ind w:firstLine="0" w:firstLineChars="0"/>
              <w:jc w:val="lef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highlight w:val="none"/>
              </w:rPr>
              <w:t>对</w:t>
            </w:r>
            <w:r>
              <w:rPr>
                <w:rFonts w:hint="eastAsia" w:ascii="宋体" w:hAnsi="宋体" w:eastAsia="宋体" w:cs="宋体"/>
                <w:kern w:val="0"/>
                <w:highlight w:val="none"/>
              </w:rPr>
              <w:t>投标人或原厂商</w:t>
            </w:r>
            <w:r>
              <w:rPr>
                <w:rFonts w:hint="eastAsia" w:ascii="宋体" w:hAnsi="宋体" w:eastAsia="宋体" w:cs="宋体"/>
                <w:highlight w:val="none"/>
              </w:rPr>
              <w:t>提供的</w:t>
            </w:r>
            <w:r>
              <w:rPr>
                <w:rFonts w:hint="eastAsia" w:ascii="宋体" w:hAnsi="宋体" w:eastAsia="宋体" w:cs="宋体"/>
                <w:highlight w:val="none"/>
                <w:lang w:val="en-US" w:eastAsia="zh-CN"/>
              </w:rPr>
              <w:t>培训方案</w:t>
            </w:r>
            <w:r>
              <w:rPr>
                <w:rFonts w:hint="eastAsia" w:ascii="宋体" w:hAnsi="宋体" w:eastAsia="宋体" w:cs="宋体"/>
                <w:highlight w:val="none"/>
              </w:rPr>
              <w:t>进行评审（需包含</w:t>
            </w:r>
            <w:r>
              <w:rPr>
                <w:rFonts w:hint="eastAsia" w:ascii="宋体" w:hAnsi="宋体" w:eastAsia="宋体" w:cs="宋体"/>
                <w:kern w:val="0"/>
                <w:sz w:val="24"/>
                <w:szCs w:val="24"/>
                <w:highlight w:val="none"/>
              </w:rPr>
              <w:t>培训目标、培训计划、培训课程、培训质量保证措施</w:t>
            </w:r>
            <w:r>
              <w:rPr>
                <w:rFonts w:hint="eastAsia" w:ascii="宋体" w:hAnsi="宋体" w:eastAsia="宋体" w:cs="宋体"/>
                <w:highlight w:val="none"/>
              </w:rPr>
              <w:t>等内容）：</w:t>
            </w:r>
          </w:p>
        </w:tc>
        <w:tc>
          <w:tcPr>
            <w:tcW w:w="678" w:type="pct"/>
            <w:vMerge w:val="restart"/>
            <w:tcBorders>
              <w:top w:val="nil"/>
              <w:left w:val="single" w:color="000000" w:sz="8" w:space="0"/>
              <w:bottom w:val="single" w:color="000000" w:sz="8"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6"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574"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line="276" w:lineRule="auto"/>
              <w:ind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highlight w:val="none"/>
              </w:rPr>
              <w:t>方案细致全面，可行性强，得</w:t>
            </w:r>
            <w:r>
              <w:rPr>
                <w:rFonts w:hint="eastAsia" w:ascii="宋体" w:hAnsi="宋体" w:eastAsia="宋体" w:cs="宋体"/>
                <w:highlight w:val="none"/>
                <w:lang w:val="en-US" w:eastAsia="zh-CN"/>
              </w:rPr>
              <w:t>10</w:t>
            </w:r>
            <w:r>
              <w:rPr>
                <w:rFonts w:hint="eastAsia" w:ascii="宋体" w:hAnsi="宋体" w:eastAsia="宋体" w:cs="宋体"/>
                <w:highlight w:val="none"/>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6"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574"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line="276" w:lineRule="auto"/>
              <w:ind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highlight w:val="none"/>
              </w:rPr>
              <w:t>方案较细致，可行性一般，得</w:t>
            </w:r>
            <w:r>
              <w:rPr>
                <w:rFonts w:hint="eastAsia" w:ascii="宋体" w:hAnsi="宋体" w:eastAsia="宋体" w:cs="宋体"/>
                <w:highlight w:val="none"/>
                <w:lang w:val="en-US" w:eastAsia="zh-CN"/>
              </w:rPr>
              <w:t>6</w:t>
            </w:r>
            <w:r>
              <w:rPr>
                <w:rFonts w:hint="eastAsia" w:ascii="宋体" w:hAnsi="宋体" w:eastAsia="宋体" w:cs="宋体"/>
                <w:highlight w:val="none"/>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6" w:type="pct"/>
            <w:vMerge w:val="continue"/>
            <w:tcBorders>
              <w:top w:val="nil"/>
              <w:left w:val="single" w:color="000000" w:sz="4"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574" w:type="pct"/>
            <w:tcBorders>
              <w:top w:val="nil"/>
              <w:left w:val="single" w:color="000000" w:sz="8" w:space="0"/>
              <w:bottom w:val="nil"/>
              <w:right w:val="single" w:color="000000" w:sz="8" w:space="0"/>
            </w:tcBorders>
            <w:shd w:val="clear" w:color="auto" w:fill="auto"/>
            <w:vAlign w:val="center"/>
          </w:tcPr>
          <w:p>
            <w:pPr>
              <w:keepNext w:val="0"/>
              <w:keepLines w:val="0"/>
              <w:widowControl/>
              <w:suppressLineNumbers w:val="0"/>
              <w:spacing w:line="276" w:lineRule="auto"/>
              <w:ind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highlight w:val="none"/>
              </w:rPr>
              <w:t>方案简单，可行性较差，得</w:t>
            </w:r>
            <w:r>
              <w:rPr>
                <w:rFonts w:hint="eastAsia" w:ascii="宋体" w:hAnsi="宋体" w:eastAsia="宋体" w:cs="宋体"/>
                <w:highlight w:val="none"/>
                <w:lang w:val="en-US" w:eastAsia="zh-CN"/>
              </w:rPr>
              <w:t>3</w:t>
            </w:r>
            <w:r>
              <w:rPr>
                <w:rFonts w:hint="eastAsia" w:ascii="宋体" w:hAnsi="宋体" w:eastAsia="宋体" w:cs="宋体"/>
                <w:highlight w:val="none"/>
              </w:rPr>
              <w:t>分；</w:t>
            </w:r>
          </w:p>
        </w:tc>
        <w:tc>
          <w:tcPr>
            <w:tcW w:w="678" w:type="pct"/>
            <w:vMerge w:val="continue"/>
            <w:tcBorders>
              <w:top w:val="nil"/>
              <w:left w:val="single" w:color="000000" w:sz="8" w:space="0"/>
              <w:bottom w:val="single" w:color="000000" w:sz="8"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46" w:type="pct"/>
            <w:vMerge w:val="continue"/>
            <w:tcBorders>
              <w:top w:val="nil"/>
              <w:left w:val="single" w:color="000000" w:sz="4" w:space="0"/>
              <w:bottom w:val="single" w:color="auto" w:sz="4" w:space="0"/>
              <w:right w:val="single" w:color="000000" w:sz="8"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3574" w:type="pct"/>
            <w:tcBorders>
              <w:top w:val="nil"/>
              <w:left w:val="single" w:color="000000" w:sz="8" w:space="0"/>
              <w:bottom w:val="single" w:color="auto" w:sz="4" w:space="0"/>
              <w:right w:val="single" w:color="000000" w:sz="8" w:space="0"/>
            </w:tcBorders>
            <w:shd w:val="clear" w:color="auto" w:fill="auto"/>
            <w:vAlign w:val="center"/>
          </w:tcPr>
          <w:p>
            <w:pPr>
              <w:keepNext w:val="0"/>
              <w:keepLines w:val="0"/>
              <w:widowControl/>
              <w:suppressLineNumbers w:val="0"/>
              <w:ind w:firstLine="0" w:firstLineChars="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highlight w:val="none"/>
              </w:rPr>
              <w:t>未单独提供该方案得</w:t>
            </w:r>
            <w:r>
              <w:rPr>
                <w:rFonts w:hint="eastAsia" w:ascii="宋体" w:hAnsi="宋体" w:eastAsia="宋体" w:cs="宋体"/>
                <w:highlight w:val="none"/>
                <w:lang w:val="en-US" w:eastAsia="zh-CN"/>
              </w:rPr>
              <w:t>0</w:t>
            </w:r>
            <w:r>
              <w:rPr>
                <w:rFonts w:hint="eastAsia" w:ascii="宋体" w:hAnsi="宋体" w:eastAsia="宋体" w:cs="宋体"/>
                <w:highlight w:val="none"/>
              </w:rPr>
              <w:t>分。</w:t>
            </w:r>
          </w:p>
        </w:tc>
        <w:tc>
          <w:tcPr>
            <w:tcW w:w="678" w:type="pct"/>
            <w:vMerge w:val="continue"/>
            <w:tcBorders>
              <w:top w:val="nil"/>
              <w:left w:val="single" w:color="000000" w:sz="8"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6" w:hRule="atLeast"/>
        </w:trPr>
        <w:tc>
          <w:tcPr>
            <w:tcW w:w="746" w:type="pct"/>
            <w:tcBorders>
              <w:top w:val="single" w:color="auto" w:sz="4" w:space="0"/>
              <w:left w:val="single" w:color="auto" w:sz="4" w:space="0"/>
              <w:bottom w:val="single" w:color="auto" w:sz="4"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售后服务方案</w:t>
            </w:r>
          </w:p>
        </w:tc>
        <w:tc>
          <w:tcPr>
            <w:tcW w:w="3574" w:type="pct"/>
            <w:tcBorders>
              <w:top w:val="single" w:color="auto" w:sz="4" w:space="0"/>
              <w:left w:val="single" w:color="000000" w:sz="8" w:space="0"/>
              <w:bottom w:val="single" w:color="auto" w:sz="4" w:space="0"/>
              <w:right w:val="single" w:color="000000" w:sz="8" w:space="0"/>
            </w:tcBorders>
            <w:shd w:val="clear" w:color="auto" w:fill="auto"/>
            <w:vAlign w:val="center"/>
          </w:tcPr>
          <w:p>
            <w:pPr>
              <w:rPr>
                <w:rFonts w:hint="eastAsia" w:ascii="宋体" w:hAnsi="宋体" w:eastAsia="宋体" w:cs="宋体"/>
                <w:highlight w:val="none"/>
              </w:rPr>
            </w:pPr>
            <w:r>
              <w:rPr>
                <w:rFonts w:hint="eastAsia" w:ascii="宋体" w:hAnsi="宋体" w:eastAsia="宋体" w:cs="宋体"/>
                <w:highlight w:val="none"/>
              </w:rPr>
              <w:t>对</w:t>
            </w:r>
            <w:r>
              <w:rPr>
                <w:rFonts w:hint="eastAsia" w:ascii="宋体" w:hAnsi="宋体" w:eastAsia="宋体" w:cs="宋体"/>
                <w:kern w:val="0"/>
                <w:highlight w:val="none"/>
              </w:rPr>
              <w:t>投标人或原厂商</w:t>
            </w:r>
            <w:r>
              <w:rPr>
                <w:rFonts w:hint="eastAsia" w:ascii="宋体" w:hAnsi="宋体" w:eastAsia="宋体" w:cs="宋体"/>
                <w:highlight w:val="none"/>
              </w:rPr>
              <w:t>提供的售后服务方案进行评审：</w:t>
            </w:r>
          </w:p>
          <w:p>
            <w:pPr>
              <w:rPr>
                <w:rFonts w:hint="eastAsia" w:ascii="宋体" w:hAnsi="宋体" w:eastAsia="宋体" w:cs="宋体"/>
                <w:kern w:val="0"/>
                <w:highlight w:val="none"/>
              </w:rPr>
            </w:pPr>
            <w:r>
              <w:rPr>
                <w:rFonts w:hint="eastAsia" w:ascii="宋体" w:hAnsi="宋体" w:eastAsia="宋体" w:cs="宋体"/>
                <w:kern w:val="0"/>
                <w:highlight w:val="none"/>
              </w:rPr>
              <w:t>根据投标人或原厂商对项目售后服务需求的</w:t>
            </w:r>
            <w:r>
              <w:rPr>
                <w:rFonts w:hint="eastAsia" w:ascii="宋体" w:hAnsi="宋体" w:eastAsia="宋体" w:cs="宋体"/>
                <w:kern w:val="0"/>
                <w:sz w:val="24"/>
                <w:szCs w:val="24"/>
                <w:highlight w:val="none"/>
              </w:rPr>
              <w:t>响应时间及故障排除时间、服务措施</w:t>
            </w:r>
            <w:r>
              <w:rPr>
                <w:rFonts w:hint="eastAsia" w:ascii="宋体" w:hAnsi="宋体" w:eastAsia="宋体" w:cs="宋体"/>
                <w:kern w:val="0"/>
                <w:highlight w:val="none"/>
              </w:rPr>
              <w:t>等进行评价，完全满足要求且方案合理详细、有针对性得</w:t>
            </w:r>
            <w:r>
              <w:rPr>
                <w:rFonts w:hint="eastAsia" w:ascii="宋体" w:hAnsi="宋体" w:eastAsia="宋体" w:cs="宋体"/>
                <w:highlight w:val="none"/>
                <w:lang w:val="en-US" w:eastAsia="zh-CN"/>
              </w:rPr>
              <w:t>1</w:t>
            </w:r>
            <w:r>
              <w:rPr>
                <w:rFonts w:hint="eastAsia" w:ascii="宋体" w:hAnsi="宋体" w:cs="宋体"/>
                <w:highlight w:val="none"/>
                <w:lang w:val="en-US" w:eastAsia="zh-CN"/>
              </w:rPr>
              <w:t>5</w:t>
            </w:r>
            <w:r>
              <w:rPr>
                <w:rFonts w:hint="eastAsia" w:ascii="宋体" w:hAnsi="宋体" w:eastAsia="宋体" w:cs="宋体"/>
                <w:kern w:val="0"/>
                <w:highlight w:val="none"/>
              </w:rPr>
              <w:t>分；</w:t>
            </w:r>
          </w:p>
          <w:p>
            <w:pPr>
              <w:rPr>
                <w:rFonts w:hint="eastAsia" w:ascii="宋体" w:hAnsi="宋体" w:eastAsia="宋体" w:cs="宋体"/>
                <w:kern w:val="0"/>
                <w:highlight w:val="none"/>
              </w:rPr>
            </w:pPr>
            <w:r>
              <w:rPr>
                <w:rFonts w:hint="eastAsia" w:ascii="宋体" w:hAnsi="宋体" w:eastAsia="宋体" w:cs="宋体"/>
                <w:kern w:val="0"/>
                <w:highlight w:val="none"/>
              </w:rPr>
              <w:t>基本满足要求、方案合理得</w:t>
            </w:r>
            <w:r>
              <w:rPr>
                <w:rFonts w:hint="eastAsia" w:ascii="宋体" w:hAnsi="宋体" w:cs="宋体"/>
                <w:highlight w:val="none"/>
                <w:lang w:val="en-US" w:eastAsia="zh-CN"/>
              </w:rPr>
              <w:t>10</w:t>
            </w:r>
            <w:r>
              <w:rPr>
                <w:rFonts w:hint="eastAsia" w:ascii="宋体" w:hAnsi="宋体" w:eastAsia="宋体" w:cs="宋体"/>
                <w:kern w:val="0"/>
                <w:highlight w:val="none"/>
              </w:rPr>
              <w:t>分；</w:t>
            </w:r>
          </w:p>
          <w:p>
            <w:pPr>
              <w:rPr>
                <w:rFonts w:hint="eastAsia" w:ascii="宋体" w:hAnsi="宋体" w:eastAsia="宋体" w:cs="宋体"/>
                <w:kern w:val="0"/>
                <w:highlight w:val="none"/>
              </w:rPr>
            </w:pPr>
            <w:r>
              <w:rPr>
                <w:rFonts w:hint="eastAsia" w:ascii="宋体" w:hAnsi="宋体" w:eastAsia="宋体" w:cs="宋体"/>
                <w:kern w:val="0"/>
                <w:highlight w:val="none"/>
              </w:rPr>
              <w:t>基本满足要求、方案有缺漏得</w:t>
            </w:r>
            <w:r>
              <w:rPr>
                <w:rFonts w:hint="eastAsia" w:ascii="宋体" w:hAnsi="宋体" w:cs="宋体"/>
                <w:highlight w:val="none"/>
                <w:lang w:val="en-US" w:eastAsia="zh-CN"/>
              </w:rPr>
              <w:t>5</w:t>
            </w:r>
            <w:r>
              <w:rPr>
                <w:rFonts w:hint="eastAsia" w:ascii="宋体" w:hAnsi="宋体" w:eastAsia="宋体" w:cs="宋体"/>
                <w:kern w:val="0"/>
                <w:highlight w:val="none"/>
              </w:rPr>
              <w:t>分；</w:t>
            </w:r>
          </w:p>
          <w:p>
            <w:pPr>
              <w:keepNext w:val="0"/>
              <w:keepLines w:val="0"/>
              <w:widowControl/>
              <w:suppressLineNumbers w:val="0"/>
              <w:jc w:val="both"/>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kern w:val="0"/>
                <w:highlight w:val="none"/>
              </w:rPr>
              <w:t>未提供服务内容得</w:t>
            </w:r>
            <w:r>
              <w:rPr>
                <w:rFonts w:hint="eastAsia" w:ascii="宋体" w:hAnsi="宋体" w:eastAsia="宋体" w:cs="宋体"/>
                <w:highlight w:val="none"/>
                <w:lang w:val="en-US" w:eastAsia="zh-CN"/>
              </w:rPr>
              <w:t>0</w:t>
            </w:r>
            <w:r>
              <w:rPr>
                <w:rFonts w:hint="eastAsia" w:ascii="宋体" w:hAnsi="宋体" w:eastAsia="宋体" w:cs="宋体"/>
                <w:kern w:val="0"/>
                <w:highlight w:val="none"/>
              </w:rPr>
              <w:t>分。</w:t>
            </w:r>
          </w:p>
        </w:tc>
        <w:tc>
          <w:tcPr>
            <w:tcW w:w="678" w:type="pct"/>
            <w:tcBorders>
              <w:top w:val="single" w:color="auto" w:sz="4" w:space="0"/>
              <w:left w:val="single" w:color="000000"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15</w:t>
            </w:r>
          </w:p>
        </w:tc>
      </w:tr>
    </w:tbl>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F1BFB1"/>
    <w:multiLevelType w:val="singleLevel"/>
    <w:tmpl w:val="F0F1BFB1"/>
    <w:lvl w:ilvl="0" w:tentative="0">
      <w:start w:val="1"/>
      <w:numFmt w:val="decimal"/>
      <w:suff w:val="nothing"/>
      <w:lvlText w:val="%1"/>
      <w:lvlJc w:val="left"/>
      <w:pPr>
        <w:tabs>
          <w:tab w:val="left" w:pos="0"/>
        </w:tabs>
        <w:ind w:left="0" w:firstLine="0"/>
      </w:pPr>
      <w:rPr>
        <w:rFonts w:hint="default"/>
      </w:rPr>
    </w:lvl>
  </w:abstractNum>
  <w:abstractNum w:abstractNumId="1">
    <w:nsid w:val="F7520F67"/>
    <w:multiLevelType w:val="multilevel"/>
    <w:tmpl w:val="F7520F67"/>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abstractNum w:abstractNumId="2">
    <w:nsid w:val="19C55294"/>
    <w:multiLevelType w:val="multilevel"/>
    <w:tmpl w:val="19C55294"/>
    <w:lvl w:ilvl="0" w:tentative="0">
      <w:start w:val="1"/>
      <w:numFmt w:val="bullet"/>
      <w:lvlText w:val=""/>
      <w:lvlJc w:val="left"/>
      <w:pPr>
        <w:ind w:left="1412" w:hanging="420"/>
      </w:pPr>
      <w:rPr>
        <w:rFonts w:hint="default" w:ascii="Wingdings" w:hAnsi="Wingdings"/>
        <w:sz w:val="18"/>
      </w:rPr>
    </w:lvl>
    <w:lvl w:ilvl="1" w:tentative="0">
      <w:start w:val="1"/>
      <w:numFmt w:val="bullet"/>
      <w:lvlText w:val=""/>
      <w:lvlJc w:val="left"/>
      <w:pPr>
        <w:ind w:left="1832" w:hanging="420"/>
      </w:pPr>
      <w:rPr>
        <w:rFonts w:hint="default" w:ascii="Wingdings" w:hAnsi="Wingdings"/>
      </w:rPr>
    </w:lvl>
    <w:lvl w:ilvl="2" w:tentative="0">
      <w:start w:val="1"/>
      <w:numFmt w:val="bullet"/>
      <w:lvlText w:val=""/>
      <w:lvlJc w:val="left"/>
      <w:pPr>
        <w:ind w:left="2252" w:hanging="420"/>
      </w:pPr>
      <w:rPr>
        <w:rFonts w:hint="default" w:ascii="Wingdings" w:hAnsi="Wingdings"/>
      </w:rPr>
    </w:lvl>
    <w:lvl w:ilvl="3" w:tentative="0">
      <w:start w:val="1"/>
      <w:numFmt w:val="bullet"/>
      <w:lvlText w:val=""/>
      <w:lvlJc w:val="left"/>
      <w:pPr>
        <w:ind w:left="2672" w:hanging="420"/>
      </w:pPr>
      <w:rPr>
        <w:rFonts w:hint="default" w:ascii="Wingdings" w:hAnsi="Wingdings"/>
      </w:rPr>
    </w:lvl>
    <w:lvl w:ilvl="4" w:tentative="0">
      <w:start w:val="1"/>
      <w:numFmt w:val="bullet"/>
      <w:lvlText w:val=""/>
      <w:lvlJc w:val="left"/>
      <w:pPr>
        <w:ind w:left="3092" w:hanging="420"/>
      </w:pPr>
      <w:rPr>
        <w:rFonts w:hint="default" w:ascii="Wingdings" w:hAnsi="Wingdings"/>
      </w:rPr>
    </w:lvl>
    <w:lvl w:ilvl="5" w:tentative="0">
      <w:start w:val="1"/>
      <w:numFmt w:val="bullet"/>
      <w:lvlText w:val=""/>
      <w:lvlJc w:val="left"/>
      <w:pPr>
        <w:ind w:left="3512" w:hanging="420"/>
      </w:pPr>
      <w:rPr>
        <w:rFonts w:hint="default" w:ascii="Wingdings" w:hAnsi="Wingdings"/>
      </w:rPr>
    </w:lvl>
    <w:lvl w:ilvl="6" w:tentative="0">
      <w:start w:val="1"/>
      <w:numFmt w:val="bullet"/>
      <w:lvlText w:val=""/>
      <w:lvlJc w:val="left"/>
      <w:pPr>
        <w:ind w:left="3932" w:hanging="420"/>
      </w:pPr>
      <w:rPr>
        <w:rFonts w:hint="default" w:ascii="Wingdings" w:hAnsi="Wingdings"/>
      </w:rPr>
    </w:lvl>
    <w:lvl w:ilvl="7" w:tentative="0">
      <w:start w:val="1"/>
      <w:numFmt w:val="bullet"/>
      <w:lvlText w:val=""/>
      <w:lvlJc w:val="left"/>
      <w:pPr>
        <w:ind w:left="4352" w:hanging="420"/>
      </w:pPr>
      <w:rPr>
        <w:rFonts w:hint="default" w:ascii="Wingdings" w:hAnsi="Wingdings"/>
      </w:rPr>
    </w:lvl>
    <w:lvl w:ilvl="8" w:tentative="0">
      <w:start w:val="1"/>
      <w:numFmt w:val="bullet"/>
      <w:lvlText w:val=""/>
      <w:lvlJc w:val="left"/>
      <w:pPr>
        <w:ind w:left="4772" w:hanging="420"/>
      </w:pPr>
      <w:rPr>
        <w:rFonts w:hint="default" w:ascii="Wingdings" w:hAnsi="Wingdings"/>
      </w:rPr>
    </w:lvl>
  </w:abstractNum>
  <w:abstractNum w:abstractNumId="3">
    <w:nsid w:val="1EF5435C"/>
    <w:multiLevelType w:val="multilevel"/>
    <w:tmpl w:val="1EF5435C"/>
    <w:lvl w:ilvl="0" w:tentative="0">
      <w:start w:val="1"/>
      <w:numFmt w:val="bullet"/>
      <w:lvlText w:val=""/>
      <w:lvlJc w:val="left"/>
      <w:pPr>
        <w:ind w:left="1412" w:hanging="420"/>
      </w:pPr>
      <w:rPr>
        <w:rFonts w:hint="default" w:ascii="Wingdings" w:hAnsi="Wingdings"/>
      </w:rPr>
    </w:lvl>
    <w:lvl w:ilvl="1" w:tentative="0">
      <w:start w:val="1"/>
      <w:numFmt w:val="bullet"/>
      <w:lvlText w:val=""/>
      <w:lvlJc w:val="left"/>
      <w:pPr>
        <w:ind w:left="1832" w:hanging="420"/>
      </w:pPr>
      <w:rPr>
        <w:rFonts w:hint="default" w:ascii="Wingdings" w:hAnsi="Wingdings"/>
      </w:rPr>
    </w:lvl>
    <w:lvl w:ilvl="2" w:tentative="0">
      <w:start w:val="1"/>
      <w:numFmt w:val="bullet"/>
      <w:lvlText w:val=""/>
      <w:lvlJc w:val="left"/>
      <w:pPr>
        <w:ind w:left="2252" w:hanging="420"/>
      </w:pPr>
      <w:rPr>
        <w:rFonts w:hint="default" w:ascii="Wingdings" w:hAnsi="Wingdings"/>
      </w:rPr>
    </w:lvl>
    <w:lvl w:ilvl="3" w:tentative="0">
      <w:start w:val="1"/>
      <w:numFmt w:val="bullet"/>
      <w:lvlText w:val=""/>
      <w:lvlJc w:val="left"/>
      <w:pPr>
        <w:ind w:left="2672" w:hanging="420"/>
      </w:pPr>
      <w:rPr>
        <w:rFonts w:hint="default" w:ascii="Wingdings" w:hAnsi="Wingdings"/>
      </w:rPr>
    </w:lvl>
    <w:lvl w:ilvl="4" w:tentative="0">
      <w:start w:val="1"/>
      <w:numFmt w:val="bullet"/>
      <w:lvlText w:val=""/>
      <w:lvlJc w:val="left"/>
      <w:pPr>
        <w:ind w:left="3092" w:hanging="420"/>
      </w:pPr>
      <w:rPr>
        <w:rFonts w:hint="default" w:ascii="Wingdings" w:hAnsi="Wingdings"/>
      </w:rPr>
    </w:lvl>
    <w:lvl w:ilvl="5" w:tentative="0">
      <w:start w:val="1"/>
      <w:numFmt w:val="bullet"/>
      <w:lvlText w:val=""/>
      <w:lvlJc w:val="left"/>
      <w:pPr>
        <w:ind w:left="3512" w:hanging="420"/>
      </w:pPr>
      <w:rPr>
        <w:rFonts w:hint="default" w:ascii="Wingdings" w:hAnsi="Wingdings"/>
      </w:rPr>
    </w:lvl>
    <w:lvl w:ilvl="6" w:tentative="0">
      <w:start w:val="1"/>
      <w:numFmt w:val="bullet"/>
      <w:lvlText w:val=""/>
      <w:lvlJc w:val="left"/>
      <w:pPr>
        <w:ind w:left="3932" w:hanging="420"/>
      </w:pPr>
      <w:rPr>
        <w:rFonts w:hint="default" w:ascii="Wingdings" w:hAnsi="Wingdings"/>
      </w:rPr>
    </w:lvl>
    <w:lvl w:ilvl="7" w:tentative="0">
      <w:start w:val="1"/>
      <w:numFmt w:val="bullet"/>
      <w:lvlText w:val=""/>
      <w:lvlJc w:val="left"/>
      <w:pPr>
        <w:ind w:left="4352" w:hanging="420"/>
      </w:pPr>
      <w:rPr>
        <w:rFonts w:hint="default" w:ascii="Wingdings" w:hAnsi="Wingdings"/>
      </w:rPr>
    </w:lvl>
    <w:lvl w:ilvl="8" w:tentative="0">
      <w:start w:val="1"/>
      <w:numFmt w:val="bullet"/>
      <w:lvlText w:val=""/>
      <w:lvlJc w:val="left"/>
      <w:pPr>
        <w:ind w:left="4772" w:hanging="420"/>
      </w:pPr>
      <w:rPr>
        <w:rFonts w:hint="default" w:ascii="Wingdings" w:hAnsi="Wingdings"/>
      </w:rPr>
    </w:lvl>
  </w:abstractNum>
  <w:abstractNum w:abstractNumId="4">
    <w:nsid w:val="76872C4C"/>
    <w:multiLevelType w:val="singleLevel"/>
    <w:tmpl w:val="76872C4C"/>
    <w:lvl w:ilvl="0" w:tentative="0">
      <w:start w:val="1"/>
      <w:numFmt w:val="decimal"/>
      <w:lvlText w:val="%1."/>
      <w:lvlJc w:val="left"/>
      <w:pPr>
        <w:ind w:left="425" w:hanging="425"/>
      </w:pPr>
      <w:rPr>
        <w:rFonts w:hint="default"/>
      </w:r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MGFjNzExZmZmM2M4YjY0MGM1MjczMWExZGYzNTMifQ=="/>
  </w:docVars>
  <w:rsids>
    <w:rsidRoot w:val="1DD25D93"/>
    <w:rsid w:val="00975E9C"/>
    <w:rsid w:val="06CE5CA7"/>
    <w:rsid w:val="087B39E8"/>
    <w:rsid w:val="0E1F17A0"/>
    <w:rsid w:val="106A58B6"/>
    <w:rsid w:val="194C18CF"/>
    <w:rsid w:val="1C9162AA"/>
    <w:rsid w:val="1DD25D93"/>
    <w:rsid w:val="1DD57D12"/>
    <w:rsid w:val="217C6B87"/>
    <w:rsid w:val="218439FB"/>
    <w:rsid w:val="22401962"/>
    <w:rsid w:val="231A61AF"/>
    <w:rsid w:val="2CBC5291"/>
    <w:rsid w:val="36783969"/>
    <w:rsid w:val="38316CA8"/>
    <w:rsid w:val="3AC43790"/>
    <w:rsid w:val="3D4A346B"/>
    <w:rsid w:val="42C64707"/>
    <w:rsid w:val="42C91868"/>
    <w:rsid w:val="44444E8A"/>
    <w:rsid w:val="493F0316"/>
    <w:rsid w:val="4A673806"/>
    <w:rsid w:val="4AFA5CD0"/>
    <w:rsid w:val="4D7A37A4"/>
    <w:rsid w:val="55AE4FFD"/>
    <w:rsid w:val="58196B96"/>
    <w:rsid w:val="5C6E4D42"/>
    <w:rsid w:val="5F7A4DB3"/>
    <w:rsid w:val="611E2EDC"/>
    <w:rsid w:val="61D45648"/>
    <w:rsid w:val="6B571220"/>
    <w:rsid w:val="6CD5086F"/>
    <w:rsid w:val="6DBC462A"/>
    <w:rsid w:val="6DD662A4"/>
    <w:rsid w:val="6F4E6291"/>
    <w:rsid w:val="738225EA"/>
    <w:rsid w:val="744B6D39"/>
    <w:rsid w:val="7B4C3166"/>
    <w:rsid w:val="7B9520AE"/>
    <w:rsid w:val="7BFE0623"/>
    <w:rsid w:val="7EE33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0" w:firstLineChars="0"/>
      <w:jc w:val="both"/>
    </w:pPr>
    <w:rPr>
      <w:rFonts w:eastAsia="宋体" w:asciiTheme="minorAscii" w:hAnsiTheme="minorAscii" w:cstheme="minorBidi"/>
      <w:kern w:val="2"/>
      <w:sz w:val="21"/>
      <w:szCs w:val="21"/>
      <w:lang w:val="en-US" w:eastAsia="zh-CN" w:bidi="ar-SA"/>
    </w:rPr>
  </w:style>
  <w:style w:type="paragraph" w:styleId="2">
    <w:name w:val="heading 1"/>
    <w:basedOn w:val="1"/>
    <w:next w:val="1"/>
    <w:qFormat/>
    <w:uiPriority w:val="0"/>
    <w:pPr>
      <w:keepNext/>
      <w:keepLines/>
      <w:numPr>
        <w:ilvl w:val="0"/>
        <w:numId w:val="1"/>
      </w:numPr>
      <w:adjustRightInd w:val="0"/>
      <w:snapToGrid w:val="0"/>
      <w:spacing w:before="100" w:beforeLines="100"/>
      <w:jc w:val="left"/>
      <w:outlineLvl w:val="0"/>
    </w:pPr>
    <w:rPr>
      <w:rFonts w:ascii="宋体" w:hAnsi="宋体" w:eastAsia="宋体" w:cs="宋体"/>
      <w:b/>
      <w:kern w:val="44"/>
      <w:sz w:val="36"/>
      <w:szCs w:val="36"/>
    </w:rPr>
  </w:style>
  <w:style w:type="paragraph" w:styleId="3">
    <w:name w:val="heading 2"/>
    <w:basedOn w:val="1"/>
    <w:next w:val="1"/>
    <w:unhideWhenUsed/>
    <w:qFormat/>
    <w:uiPriority w:val="0"/>
    <w:pPr>
      <w:keepNext/>
      <w:keepLines/>
      <w:numPr>
        <w:ilvl w:val="1"/>
        <w:numId w:val="1"/>
      </w:numPr>
      <w:spacing w:before="260" w:beforeLines="0" w:beforeAutospacing="0" w:after="260" w:afterLines="0" w:afterAutospacing="0" w:line="413" w:lineRule="auto"/>
      <w:outlineLvl w:val="1"/>
    </w:pPr>
    <w:rPr>
      <w:rFonts w:ascii="Arial" w:hAnsi="Arial"/>
      <w:b/>
      <w:sz w:val="30"/>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firstLine="400"/>
      <w:outlineLvl w:val="2"/>
    </w:pPr>
    <w:rPr>
      <w:b/>
      <w:sz w:val="32"/>
    </w:rPr>
  </w:style>
  <w:style w:type="paragraph" w:styleId="5">
    <w:name w:val="heading 4"/>
    <w:basedOn w:val="4"/>
    <w:next w:val="1"/>
    <w:unhideWhenUsed/>
    <w:qFormat/>
    <w:uiPriority w:val="0"/>
    <w:pPr>
      <w:keepNext/>
      <w:keepLines/>
      <w:numPr>
        <w:ilvl w:val="3"/>
        <w:numId w:val="1"/>
      </w:numPr>
      <w:spacing w:before="280" w:beforeLines="0" w:beforeAutospacing="0" w:after="290" w:afterLines="0" w:afterAutospacing="0" w:line="372" w:lineRule="auto"/>
      <w:ind w:firstLine="402"/>
      <w:outlineLvl w:val="3"/>
    </w:pPr>
    <w:rPr>
      <w:rFonts w:ascii="Arial" w:hAnsi="Arial" w:eastAsia="宋体"/>
      <w:sz w:val="28"/>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firstLine="402"/>
      <w:outlineLvl w:val="4"/>
    </w:pPr>
    <w:rPr>
      <w:b/>
      <w:sz w:val="28"/>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firstLine="402"/>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firstLine="402"/>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firstLine="402"/>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firstLine="402"/>
      <w:outlineLvl w:val="8"/>
    </w:pPr>
    <w:rPr>
      <w:rFonts w:ascii="Arial" w:hAnsi="Arial" w:eastAsia="黑体"/>
      <w:sz w:val="21"/>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qFormat/>
    <w:uiPriority w:val="0"/>
    <w:pPr>
      <w:spacing w:after="120"/>
    </w:pPr>
  </w:style>
  <w:style w:type="paragraph" w:styleId="13">
    <w:name w:val="Body Text Indent"/>
    <w:basedOn w:val="1"/>
    <w:next w:val="14"/>
    <w:qFormat/>
    <w:uiPriority w:val="99"/>
    <w:pPr>
      <w:spacing w:line="540" w:lineRule="exact"/>
      <w:ind w:firstLine="480" w:firstLineChars="200"/>
    </w:pPr>
    <w:rPr>
      <w:sz w:val="24"/>
    </w:rPr>
  </w:style>
  <w:style w:type="paragraph" w:styleId="14">
    <w:name w:val="Body Text First Indent 2"/>
    <w:basedOn w:val="13"/>
    <w:next w:val="15"/>
    <w:qFormat/>
    <w:uiPriority w:val="0"/>
    <w:pPr>
      <w:spacing w:after="120" w:afterLines="0" w:line="240" w:lineRule="auto"/>
      <w:ind w:left="420" w:leftChars="200" w:firstLine="420"/>
    </w:pPr>
    <w:rPr>
      <w:sz w:val="21"/>
    </w:rPr>
  </w:style>
  <w:style w:type="paragraph" w:customStyle="1" w:styleId="15">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styleId="16">
    <w:name w:val="footer"/>
    <w:basedOn w:val="1"/>
    <w:unhideWhenUsed/>
    <w:qFormat/>
    <w:uiPriority w:val="99"/>
    <w:pPr>
      <w:tabs>
        <w:tab w:val="center" w:pos="4153"/>
        <w:tab w:val="right" w:pos="8306"/>
      </w:tabs>
      <w:snapToGrid w:val="0"/>
      <w:spacing w:line="240" w:lineRule="auto"/>
      <w:jc w:val="left"/>
    </w:pPr>
    <w:rPr>
      <w:sz w:val="18"/>
      <w:szCs w:val="18"/>
    </w:rPr>
  </w:style>
  <w:style w:type="table" w:styleId="18">
    <w:name w:val="Table Grid"/>
    <w:basedOn w:val="1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0">
    <w:name w:val="No Spacing"/>
    <w:basedOn w:val="1"/>
    <w:qFormat/>
    <w:uiPriority w:val="0"/>
    <w:pPr>
      <w:spacing w:line="240" w:lineRule="auto"/>
      <w:ind w:firstLine="0" w:firstLineChars="0"/>
      <w:jc w:val="center"/>
    </w:pPr>
    <w:rPr>
      <w:rFonts w:ascii="Times New Roman" w:hAnsi="Times New Roman" w:eastAsia="宋体" w:cs="Times New Roman"/>
      <w:szCs w:val="32"/>
    </w:rPr>
  </w:style>
  <w:style w:type="paragraph" w:customStyle="1" w:styleId="21">
    <w:name w:val="无间隔1"/>
    <w:qFormat/>
    <w:uiPriority w:val="0"/>
    <w:pPr>
      <w:widowControl w:val="0"/>
      <w:jc w:val="center"/>
    </w:pPr>
    <w:rPr>
      <w:rFonts w:ascii="Times New Roman" w:hAnsi="Times New Roman" w:eastAsia="宋体" w:cstheme="minorBidi"/>
      <w:kern w:val="2"/>
      <w:sz w:val="24"/>
      <w:szCs w:val="22"/>
      <w:lang w:val="en-US" w:eastAsia="zh-CN" w:bidi="ar-SA"/>
    </w:rPr>
  </w:style>
  <w:style w:type="character" w:customStyle="1" w:styleId="22">
    <w:name w:val="font21"/>
    <w:basedOn w:val="19"/>
    <w:qFormat/>
    <w:uiPriority w:val="0"/>
    <w:rPr>
      <w:rFonts w:hint="default" w:ascii="Calibri" w:hAnsi="Calibri" w:cs="Calibri"/>
      <w:color w:val="000000"/>
      <w:sz w:val="21"/>
      <w:szCs w:val="21"/>
      <w:u w:val="none"/>
    </w:rPr>
  </w:style>
  <w:style w:type="character" w:customStyle="1" w:styleId="23">
    <w:name w:val="font11"/>
    <w:basedOn w:val="19"/>
    <w:qFormat/>
    <w:uiPriority w:val="0"/>
    <w:rPr>
      <w:rFonts w:hint="eastAsia" w:ascii="宋体" w:hAnsi="宋体" w:eastAsia="宋体" w:cs="宋体"/>
      <w:color w:val="000000"/>
      <w:sz w:val="21"/>
      <w:szCs w:val="21"/>
      <w:u w:val="none"/>
    </w:rPr>
  </w:style>
  <w:style w:type="character" w:customStyle="1" w:styleId="24">
    <w:name w:val="font51"/>
    <w:basedOn w:val="19"/>
    <w:qFormat/>
    <w:uiPriority w:val="0"/>
    <w:rPr>
      <w:rFonts w:hint="eastAsia" w:ascii="宋体" w:hAnsi="宋体" w:eastAsia="宋体" w:cs="宋体"/>
      <w:color w:val="000000"/>
      <w:sz w:val="20"/>
      <w:szCs w:val="20"/>
      <w:u w:val="none"/>
    </w:rPr>
  </w:style>
  <w:style w:type="paragraph" w:styleId="2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3397</Words>
  <Characters>3590</Characters>
  <Lines>0</Lines>
  <Paragraphs>0</Paragraphs>
  <TotalTime>135</TotalTime>
  <ScaleCrop>false</ScaleCrop>
  <LinksUpToDate>false</LinksUpToDate>
  <CharactersWithSpaces>3618</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2023-05-04T02:06:00Z</dcterms:created>
  <dc:creator>痒痒杨</dc:creator>
  <cp:lastModifiedBy>Kelsen</cp:lastModifiedBy>
  <dcterms:modified xsi:type="dcterms:W3CDTF">2025-08-25T05:01:28Z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0AE1940819864E58B5BD8EDE93EF3A12</vt:lpwstr>
  </property>
  <property fmtid="{D5CDD505-2E9C-101B-9397-08002B2CF9AE}" pid="4" name="KSOTemplateDocerSaveRecord">
    <vt:lpwstr>eyJoZGlkIjoiMDg0N2NiNGI1ZTAxODQzYzFiMmEyYTJjZDgxZjJkMTEiLCJ1c2VySWQiOiI1MzAxODgyNTEifQ==</vt:lpwstr>
  </property>
</Properties>
</file>