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bidi w:val="0"/>
        <w:ind w:leftChars="0"/>
        <w:jc w:val="center"/>
        <w:rPr>
          <w:rFonts w:hint="default" w:eastAsia="宋体"/>
          <w:sz w:val="32"/>
          <w:szCs w:val="32"/>
          <w:lang w:val="en-US" w:eastAsia="zh-CN"/>
        </w:rPr>
      </w:pPr>
      <w:r>
        <w:rPr>
          <w:rFonts w:hint="eastAsia"/>
          <w:sz w:val="32"/>
          <w:szCs w:val="32"/>
          <w:lang w:val="en-US" w:eastAsia="zh-CN"/>
        </w:rPr>
        <w:t>北京市垂杨柳医院老年综合评估系统招标方案</w:t>
      </w:r>
    </w:p>
    <w:p>
      <w:pPr>
        <w:pStyle w:val="2"/>
        <w:bidi w:val="0"/>
        <w:ind w:left="0" w:leftChars="0" w:firstLine="0" w:firstLineChars="0"/>
      </w:pPr>
      <w:r>
        <w:rPr>
          <w:rFonts w:hint="eastAsia"/>
          <w:lang w:val="en-US" w:eastAsia="zh-CN"/>
        </w:rPr>
        <w:t>项目概述</w:t>
      </w:r>
    </w:p>
    <w:p>
      <w:pPr>
        <w:rPr>
          <w:rFonts w:hint="default"/>
          <w:lang w:val="en-US"/>
        </w:rPr>
      </w:pPr>
      <w:r>
        <w:rPr>
          <w:rFonts w:hint="eastAsia"/>
          <w:lang w:val="en-US" w:eastAsia="zh-CN"/>
        </w:rPr>
        <w:t>建设老年医学科老年综合评估模块，开展老年患者全面的肌少症医学评估与干预工作。</w:t>
      </w:r>
    </w:p>
    <w:p>
      <w:pPr>
        <w:pStyle w:val="2"/>
        <w:bidi w:val="0"/>
        <w:ind w:left="0" w:leftChars="0" w:firstLine="0" w:firstLineChars="0"/>
      </w:pPr>
      <w:r>
        <w:rPr>
          <w:rFonts w:hint="eastAsia"/>
        </w:rPr>
        <w:t>招标内容</w:t>
      </w:r>
    </w:p>
    <w:tbl>
      <w:tblPr>
        <w:tblStyle w:val="17"/>
        <w:tblW w:w="81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24"/>
        <w:gridCol w:w="1082"/>
        <w:gridCol w:w="259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trPr>
        <w:tc>
          <w:tcPr>
            <w:tcW w:w="720" w:type="dxa"/>
            <w:vAlign w:val="center"/>
          </w:tcPr>
          <w:p>
            <w:pPr>
              <w:bidi w:val="0"/>
            </w:pPr>
            <w:r>
              <w:rPr>
                <w:rFonts w:hint="eastAsia"/>
              </w:rPr>
              <w:t>序号</w:t>
            </w:r>
          </w:p>
        </w:tc>
        <w:tc>
          <w:tcPr>
            <w:tcW w:w="2524" w:type="dxa"/>
            <w:vAlign w:val="center"/>
          </w:tcPr>
          <w:p>
            <w:pPr>
              <w:bidi w:val="0"/>
              <w:jc w:val="center"/>
            </w:pPr>
            <w:r>
              <w:rPr>
                <w:rFonts w:hint="eastAsia"/>
              </w:rPr>
              <w:t>名称</w:t>
            </w:r>
          </w:p>
        </w:tc>
        <w:tc>
          <w:tcPr>
            <w:tcW w:w="1082" w:type="dxa"/>
            <w:vAlign w:val="center"/>
          </w:tcPr>
          <w:p>
            <w:pPr>
              <w:bidi w:val="0"/>
              <w:jc w:val="center"/>
            </w:pPr>
            <w:r>
              <w:rPr>
                <w:rFonts w:hint="eastAsia"/>
              </w:rPr>
              <w:t>数量</w:t>
            </w:r>
          </w:p>
        </w:tc>
        <w:tc>
          <w:tcPr>
            <w:tcW w:w="2597" w:type="dxa"/>
            <w:vAlign w:val="center"/>
          </w:tcPr>
          <w:p>
            <w:pPr>
              <w:bidi w:val="0"/>
            </w:pPr>
            <w:r>
              <w:rPr>
                <w:rFonts w:hint="eastAsia"/>
                <w:lang w:val="en-US" w:eastAsia="zh-CN"/>
              </w:rPr>
              <w:t>交付</w:t>
            </w:r>
            <w:r>
              <w:rPr>
                <w:rFonts w:hint="eastAsia"/>
              </w:rPr>
              <w:t>期</w:t>
            </w:r>
          </w:p>
        </w:tc>
        <w:tc>
          <w:tcPr>
            <w:tcW w:w="1276" w:type="dxa"/>
            <w:vAlign w:val="center"/>
          </w:tcPr>
          <w:p>
            <w:pPr>
              <w:bidi w:val="0"/>
            </w:pPr>
            <w:r>
              <w:rPr>
                <w:rFonts w:hint="eastAsia"/>
                <w:lang w:val="en-US" w:eastAsia="zh-CN"/>
              </w:rPr>
              <w:t>交付</w:t>
            </w:r>
            <w:r>
              <w:rPr>
                <w:rFonts w:hint="eastAsia"/>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720" w:type="dxa"/>
            <w:vAlign w:val="center"/>
          </w:tcPr>
          <w:p>
            <w:pPr>
              <w:numPr>
                <w:ilvl w:val="0"/>
                <w:numId w:val="2"/>
              </w:numPr>
              <w:bidi w:val="0"/>
              <w:ind w:left="0" w:leftChars="0" w:firstLine="0" w:firstLineChars="0"/>
            </w:pPr>
          </w:p>
        </w:tc>
        <w:tc>
          <w:tcPr>
            <w:tcW w:w="2524" w:type="dxa"/>
            <w:vAlign w:val="center"/>
          </w:tcPr>
          <w:p>
            <w:pPr>
              <w:bidi w:val="0"/>
              <w:jc w:val="center"/>
            </w:pPr>
            <w:r>
              <w:rPr>
                <w:rFonts w:hint="eastAsia"/>
                <w:lang w:eastAsia="zh-CN"/>
              </w:rPr>
              <w:t>老年综合评估</w:t>
            </w:r>
            <w:r>
              <w:rPr>
                <w:rFonts w:hint="eastAsia"/>
              </w:rPr>
              <w:t>系统</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rPr>
                <w:rFonts w:hint="default" w:eastAsia="宋体"/>
                <w:lang w:val="en-US" w:eastAsia="zh-CN"/>
              </w:rPr>
            </w:pPr>
            <w:r>
              <w:rPr>
                <w:rFonts w:hint="eastAsia"/>
                <w:lang w:val="en-US" w:eastAsia="zh-CN"/>
              </w:rPr>
              <w:t>1套</w:t>
            </w:r>
          </w:p>
        </w:tc>
        <w:tc>
          <w:tcPr>
            <w:tcW w:w="2597" w:type="dxa"/>
            <w:vAlign w:val="center"/>
          </w:tcPr>
          <w:p>
            <w:pPr>
              <w:bidi w:val="0"/>
            </w:pPr>
            <w:r>
              <w:rPr>
                <w:rFonts w:hint="eastAsia"/>
              </w:rPr>
              <w:t>合同签定后</w:t>
            </w:r>
            <w:r>
              <w:rPr>
                <w:rFonts w:hint="eastAsia"/>
                <w:lang w:val="en-US" w:eastAsia="zh-CN"/>
              </w:rPr>
              <w:t>3</w:t>
            </w:r>
            <w:r>
              <w:rPr>
                <w:rFonts w:hint="eastAsia"/>
              </w:rPr>
              <w:t>个月内</w:t>
            </w:r>
          </w:p>
        </w:tc>
        <w:tc>
          <w:tcPr>
            <w:tcW w:w="1276" w:type="dxa"/>
            <w:vAlign w:val="center"/>
          </w:tcPr>
          <w:p>
            <w:pPr>
              <w:bidi w:val="0"/>
            </w:pPr>
            <w:r>
              <w:rPr>
                <w:rFonts w:hint="eastAsia"/>
              </w:rPr>
              <w:t>医院指定地点</w:t>
            </w:r>
          </w:p>
        </w:tc>
      </w:tr>
    </w:tbl>
    <w:p>
      <w:pPr>
        <w:pStyle w:val="2"/>
        <w:bidi w:val="0"/>
        <w:ind w:left="0" w:leftChars="0" w:firstLine="0" w:firstLineChars="0"/>
      </w:pPr>
      <w:r>
        <w:rPr>
          <w:rFonts w:hint="eastAsia"/>
        </w:rPr>
        <w:t>技术要求</w:t>
      </w:r>
    </w:p>
    <w:p>
      <w:pPr>
        <w:ind w:firstLine="480"/>
        <w:rPr>
          <w:rFonts w:hint="eastAsia"/>
          <w:lang w:eastAsia="zh-CN"/>
        </w:rPr>
      </w:pPr>
      <w:r>
        <w:rPr>
          <w:rFonts w:hint="eastAsia"/>
          <w:lang w:eastAsia="zh-CN"/>
        </w:rPr>
        <w:t>。</w:t>
      </w:r>
    </w:p>
    <w:p>
      <w:pPr>
        <w:ind w:firstLine="480"/>
        <w:rPr>
          <w:rFonts w:hint="eastAsia"/>
          <w:lang w:eastAsia="zh-CN"/>
        </w:rPr>
      </w:pPr>
    </w:p>
    <w:tbl>
      <w:tblPr>
        <w:tblStyle w:val="17"/>
        <w:tblW w:w="530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8"/>
        <w:gridCol w:w="1600"/>
        <w:gridCol w:w="66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8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系统模块</w:t>
            </w:r>
          </w:p>
        </w:tc>
        <w:tc>
          <w:tcPr>
            <w:tcW w:w="3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功能要求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5" w:hRule="atLeast"/>
          <w:jc w:val="center"/>
        </w:trPr>
        <w:tc>
          <w:tcPr>
            <w:tcW w:w="429" w:type="pct"/>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884" w:type="pct"/>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功能要求</w:t>
            </w:r>
          </w:p>
        </w:tc>
        <w:tc>
          <w:tcPr>
            <w:tcW w:w="3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肌少症评估模块包含SARC-CalF测试、握力测试、三步式平衡测试、5次起坐测试、4米步速测试，进行肌少症综合评估，出具膳食与运动评估报告，并根据测评结果自动生成运动和营养处方。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429" w:type="pct"/>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884" w:type="pct"/>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SARC-CalF测试</w:t>
            </w:r>
          </w:p>
        </w:tc>
        <w:tc>
          <w:tcPr>
            <w:tcW w:w="3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测试环节中的小腿围测试采用智能电子软尺，可进行维度及直线测量，支持蓝牙数据对接，一按数据即刻上传；量程：0-1500mm，分度值：1mm。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429" w:type="pct"/>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884" w:type="pct"/>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握力测试仪</w:t>
            </w:r>
          </w:p>
        </w:tc>
        <w:tc>
          <w:tcPr>
            <w:tcW w:w="3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采用电子握力计进行左右手测试，</w:t>
            </w:r>
            <w:bookmarkStart w:id="0" w:name="OLE_LINK18"/>
            <w:r>
              <w:rPr>
                <w:rFonts w:hint="eastAsia" w:asciiTheme="minorEastAsia" w:hAnsiTheme="minorEastAsia" w:eastAsiaTheme="minorEastAsia" w:cstheme="minorEastAsia"/>
                <w:i w:val="0"/>
                <w:iCs w:val="0"/>
                <w:color w:val="000000"/>
                <w:kern w:val="0"/>
                <w:sz w:val="24"/>
                <w:szCs w:val="24"/>
                <w:u w:val="none"/>
                <w:lang w:val="en-US" w:eastAsia="zh-CN" w:bidi="ar"/>
              </w:rPr>
              <w:t>支持</w:t>
            </w:r>
            <w:bookmarkEnd w:id="0"/>
            <w:r>
              <w:rPr>
                <w:rFonts w:hint="eastAsia" w:asciiTheme="minorEastAsia" w:hAnsiTheme="minorEastAsia" w:eastAsiaTheme="minorEastAsia" w:cstheme="minorEastAsia"/>
                <w:i w:val="0"/>
                <w:iCs w:val="0"/>
                <w:color w:val="000000"/>
                <w:kern w:val="0"/>
                <w:sz w:val="24"/>
                <w:szCs w:val="24"/>
                <w:u w:val="none"/>
                <w:lang w:val="en-US" w:eastAsia="zh-CN" w:bidi="ar"/>
              </w:rPr>
              <w:t>蓝牙数据对接，测试完毕数据自动上传系统；量程：0-180kg，分度值：0.1kg。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429" w:type="pct"/>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884" w:type="pct"/>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三步式平衡测试</w:t>
            </w:r>
          </w:p>
        </w:tc>
        <w:tc>
          <w:tcPr>
            <w:tcW w:w="3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采用压力传感器方式进行全足、并足、半足距测试，配备独立的硬件测试平台；时间量程：0-10s，分度值：0.1s。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8" w:hRule="atLeast"/>
          <w:jc w:val="center"/>
        </w:trPr>
        <w:tc>
          <w:tcPr>
            <w:tcW w:w="429"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884"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五次起坐测试</w:t>
            </w:r>
          </w:p>
        </w:tc>
        <w:tc>
          <w:tcPr>
            <w:tcW w:w="3685"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采用压力传感技术进行数据采集，配备可电动升降座椅；时间量程：0-12s，分度值：0.1s。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8" w:hRule="atLeast"/>
          <w:jc w:val="center"/>
        </w:trPr>
        <w:tc>
          <w:tcPr>
            <w:tcW w:w="429"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884"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4米步速测试</w:t>
            </w:r>
          </w:p>
        </w:tc>
        <w:tc>
          <w:tcPr>
            <w:tcW w:w="3685"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采用智能光栅进行数据采集，配有专用步行道及行走标识；步道长度≤6m，计时分度值：0.1s。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8" w:hRule="atLeast"/>
          <w:jc w:val="center"/>
        </w:trPr>
        <w:tc>
          <w:tcPr>
            <w:tcW w:w="429"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884"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肌少症评估结论</w:t>
            </w:r>
          </w:p>
        </w:tc>
        <w:tc>
          <w:tcPr>
            <w:tcW w:w="3685"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报告包含消瘦、正常、肌少症可能、肌少症、肌少性肥胖、肥胖；肌少症评估雷达图包含上肢肌力、下肢肌力、肌肉量、平衡、步速图示。（提供系统功能截图）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429" w:type="pct"/>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884" w:type="pct"/>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膳食评估</w:t>
            </w:r>
          </w:p>
        </w:tc>
        <w:tc>
          <w:tcPr>
            <w:tcW w:w="3685" w:type="pct"/>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具备早午晚餐膳食记录，蛋奶豆、每日饮水量、营养制剂摄入记录，活动量、咀嚼、吞咽、食物性状、二便情况、过敏、疾病等评估记录。（提供系统功能截图）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29" w:type="pct"/>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884" w:type="pct"/>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运动前评估</w:t>
            </w:r>
          </w:p>
        </w:tc>
        <w:tc>
          <w:tcPr>
            <w:tcW w:w="3685" w:type="pct"/>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急性炎症、精神障碍、颈肩不适、饮食呛咳评估记录。（提供系统功能截图）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429" w:type="pct"/>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884" w:type="pct"/>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运动视频处方库</w:t>
            </w:r>
          </w:p>
        </w:tc>
        <w:tc>
          <w:tcPr>
            <w:tcW w:w="3685" w:type="pct"/>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通过运动筛查问卷并结合肌少症测试的数据，自动生成个性化运动处方，具备7个等级的运动视频处方库，不少于15个版块的训练视频库；扫码生成针对老年人的居家锻炼指导视频，便于老年人跟练。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429" w:type="pct"/>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884" w:type="pct"/>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营养处方内容</w:t>
            </w:r>
          </w:p>
        </w:tc>
        <w:tc>
          <w:tcPr>
            <w:tcW w:w="3685" w:type="pct"/>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根据评估结果和肌少症测试的数据自动生成营养处方和餐盘计划，包括但不限于营养状况评估、膳食结构分析、餐盘计划、全营养制剂支持等模块。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429" w:type="pct"/>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884" w:type="pct"/>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报告结果</w:t>
            </w:r>
          </w:p>
        </w:tc>
        <w:tc>
          <w:tcPr>
            <w:tcW w:w="3685" w:type="pct"/>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肌少症综合评估报告、营养处方报告、运动处方报告。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429" w:type="pct"/>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884" w:type="pct"/>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后台管理</w:t>
            </w:r>
          </w:p>
        </w:tc>
        <w:tc>
          <w:tcPr>
            <w:tcW w:w="3685" w:type="pct"/>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支持生化指标录入功能，随访统计功能，测试数据实时显示的折线图和饼状图</w:t>
            </w:r>
            <w:bookmarkStart w:id="1" w:name="OLE_LINK10"/>
            <w:r>
              <w:rPr>
                <w:rFonts w:hint="eastAsia" w:asciiTheme="minorEastAsia" w:hAnsiTheme="minorEastAsia" w:eastAsiaTheme="minorEastAsia" w:cstheme="minorEastAsia"/>
                <w:i w:val="0"/>
                <w:iCs w:val="0"/>
                <w:color w:val="000000"/>
                <w:kern w:val="0"/>
                <w:sz w:val="24"/>
                <w:szCs w:val="24"/>
                <w:u w:val="none"/>
                <w:lang w:val="en-US" w:eastAsia="zh-CN" w:bidi="ar"/>
              </w:rPr>
              <w:t>，配备专用数据统计</w:t>
            </w:r>
            <w:bookmarkEnd w:id="1"/>
            <w:r>
              <w:rPr>
                <w:rFonts w:hint="eastAsia" w:asciiTheme="minorEastAsia" w:hAnsiTheme="minorEastAsia" w:eastAsiaTheme="minorEastAsia" w:cstheme="minorEastAsia"/>
                <w:i w:val="0"/>
                <w:iCs w:val="0"/>
                <w:color w:val="000000"/>
                <w:kern w:val="0"/>
                <w:sz w:val="24"/>
                <w:szCs w:val="24"/>
                <w:u w:val="none"/>
                <w:lang w:val="en-US" w:eastAsia="zh-CN" w:bidi="ar"/>
              </w:rPr>
              <w:t>后台，支持数据统计汇总和数据导出。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429" w:type="pct"/>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884" w:type="pct"/>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数据统计</w:t>
            </w:r>
          </w:p>
        </w:tc>
        <w:tc>
          <w:tcPr>
            <w:tcW w:w="3685" w:type="pct"/>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配备专用数据统计后台，支持数据统计汇总和数据导出。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429" w:type="pct"/>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884" w:type="pct"/>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操作系统</w:t>
            </w:r>
          </w:p>
        </w:tc>
        <w:tc>
          <w:tcPr>
            <w:tcW w:w="3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Windows10及以上。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429" w:type="pct"/>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16</w:t>
            </w:r>
          </w:p>
        </w:tc>
        <w:tc>
          <w:tcPr>
            <w:tcW w:w="884" w:type="pct"/>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打印功能</w:t>
            </w:r>
          </w:p>
        </w:tc>
        <w:tc>
          <w:tcPr>
            <w:tcW w:w="3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外接打印机支持彩色打印。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429" w:type="pct"/>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17</w:t>
            </w:r>
          </w:p>
        </w:tc>
        <w:tc>
          <w:tcPr>
            <w:tcW w:w="884" w:type="pct"/>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软著证明</w:t>
            </w:r>
          </w:p>
        </w:tc>
        <w:tc>
          <w:tcPr>
            <w:tcW w:w="3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kern w:val="2"/>
                <w:sz w:val="24"/>
                <w:szCs w:val="24"/>
                <w:lang w:val="en-US" w:eastAsia="zh-CN"/>
              </w:rPr>
              <w:t>系统具备产品软件著作权登记证书</w:t>
            </w:r>
            <w:r>
              <w:rPr>
                <w:rFonts w:hint="eastAsia" w:asciiTheme="minorEastAsia" w:hAnsiTheme="minorEastAsia" w:eastAsiaTheme="minorEastAsia" w:cstheme="minorEastAsia"/>
                <w:i w:val="0"/>
                <w:iCs w:val="0"/>
                <w:color w:val="000000"/>
                <w:kern w:val="0"/>
                <w:sz w:val="24"/>
                <w:szCs w:val="24"/>
                <w:u w:val="none"/>
                <w:lang w:val="en-US" w:eastAsia="zh-CN" w:bidi="ar"/>
              </w:rPr>
              <w:t>（提供证书复印件）。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429" w:type="pct"/>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p>
        </w:tc>
        <w:tc>
          <w:tcPr>
            <w:tcW w:w="884" w:type="pct"/>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工作站</w:t>
            </w:r>
          </w:p>
        </w:tc>
        <w:tc>
          <w:tcPr>
            <w:tcW w:w="3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系统配有固定台车工作站。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429" w:type="pct"/>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19</w:t>
            </w:r>
          </w:p>
        </w:tc>
        <w:tc>
          <w:tcPr>
            <w:tcW w:w="884" w:type="pct"/>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显示屏</w:t>
            </w:r>
          </w:p>
        </w:tc>
        <w:tc>
          <w:tcPr>
            <w:tcW w:w="3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kern w:val="2"/>
                <w:sz w:val="24"/>
                <w:szCs w:val="24"/>
                <w:lang w:val="en-US" w:eastAsia="zh-CN"/>
              </w:rPr>
              <w:t>≥23英寸</w:t>
            </w:r>
          </w:p>
        </w:tc>
      </w:tr>
    </w:tbl>
    <w:p>
      <w:pPr>
        <w:rPr>
          <w:rFonts w:hint="eastAsia"/>
          <w:lang w:val="en-US" w:eastAsia="zh-CN"/>
        </w:rPr>
      </w:pPr>
    </w:p>
    <w:p>
      <w:pPr>
        <w:pStyle w:val="2"/>
        <w:bidi w:val="0"/>
        <w:ind w:left="0" w:leftChars="0" w:firstLine="0" w:firstLineChars="0"/>
      </w:pPr>
      <w:r>
        <w:rPr>
          <w:rFonts w:hint="eastAsia"/>
          <w:lang w:val="en-US" w:eastAsia="zh-CN"/>
        </w:rPr>
        <w:t>商务条款</w:t>
      </w:r>
    </w:p>
    <w:p>
      <w:pPr>
        <w:numPr>
          <w:ilvl w:val="0"/>
          <w:numId w:val="3"/>
        </w:numPr>
        <w:bidi w:val="0"/>
        <w:rPr>
          <w:rFonts w:hint="eastAsia"/>
        </w:rPr>
      </w:pPr>
      <w:r>
        <w:rPr>
          <w:rFonts w:hint="eastAsia"/>
        </w:rPr>
        <w:t>本次项目中涉及的系统软件须至少提供原厂壹年质保服务</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自项目验收之日起</w:t>
      </w:r>
      <w:r>
        <w:rPr>
          <w:rFonts w:hint="eastAsia" w:ascii="宋体" w:hAnsi="宋体" w:eastAsia="宋体" w:cs="宋体"/>
          <w:color w:val="auto"/>
          <w:szCs w:val="21"/>
          <w:highlight w:val="none"/>
          <w:lang w:eastAsia="zh-CN"/>
        </w:rPr>
        <w:t>）</w:t>
      </w:r>
      <w:r>
        <w:rPr>
          <w:rFonts w:hint="eastAsia"/>
        </w:rPr>
        <w:t>。</w:t>
      </w:r>
    </w:p>
    <w:p>
      <w:pPr>
        <w:numPr>
          <w:ilvl w:val="0"/>
          <w:numId w:val="3"/>
        </w:numPr>
        <w:bidi w:val="0"/>
        <w:rPr>
          <w:rFonts w:hint="default"/>
          <w:lang w:val="en-US" w:eastAsia="zh-CN"/>
        </w:rPr>
      </w:pPr>
      <w:r>
        <w:rPr>
          <w:rFonts w:hint="eastAsia"/>
        </w:rPr>
        <w:t>投标人负责项目相关设备软件的安装、调试及上线，招标单位予以配合。</w:t>
      </w:r>
    </w:p>
    <w:p>
      <w:pPr>
        <w:numPr>
          <w:ilvl w:val="0"/>
          <w:numId w:val="3"/>
        </w:numPr>
        <w:bidi w:val="0"/>
      </w:pPr>
      <w:r>
        <w:rPr>
          <w:rFonts w:hint="eastAsia" w:eastAsia="宋体"/>
        </w:rPr>
        <w:t>投标人</w:t>
      </w:r>
      <w:r>
        <w:rPr>
          <w:rFonts w:hint="eastAsia"/>
          <w:lang w:val="en-US" w:eastAsia="zh-CN"/>
        </w:rPr>
        <w:t>如需系统对接，</w:t>
      </w:r>
      <w:r>
        <w:rPr>
          <w:rFonts w:hint="eastAsia" w:eastAsia="宋体"/>
        </w:rPr>
        <w:t>但不承担第三方收取的因对接工作收取的接口费</w:t>
      </w:r>
      <w:r>
        <w:rPr>
          <w:rFonts w:hint="eastAsia" w:eastAsia="宋体"/>
          <w:lang w:eastAsia="zh-CN"/>
        </w:rPr>
        <w:t>。</w:t>
      </w:r>
    </w:p>
    <w:p>
      <w:pPr>
        <w:numPr>
          <w:ilvl w:val="0"/>
          <w:numId w:val="3"/>
        </w:numPr>
        <w:bidi w:val="0"/>
      </w:pPr>
      <w:r>
        <w:rPr>
          <w:rFonts w:hint="eastAsia"/>
        </w:rPr>
        <w:t>投标人有良好的售后服务能力，需提供全年7天24小时服务（电话、远程或现场），并在接到招标人通知后</w:t>
      </w:r>
      <w:r>
        <w:rPr>
          <w:rFonts w:hint="eastAsia"/>
          <w:lang w:val="en-US" w:eastAsia="zh-CN"/>
        </w:rPr>
        <w:t>2</w:t>
      </w:r>
      <w:r>
        <w:rPr>
          <w:rFonts w:hint="eastAsia"/>
        </w:rPr>
        <w:t>4小时内到达现场。项目验收合格后，每年不低于</w:t>
      </w:r>
      <w:r>
        <w:rPr>
          <w:rFonts w:hint="eastAsia"/>
          <w:lang w:val="en-US" w:eastAsia="zh-CN"/>
        </w:rPr>
        <w:t>2</w:t>
      </w:r>
      <w:r>
        <w:rPr>
          <w:rFonts w:hint="eastAsia"/>
        </w:rPr>
        <w:t>次的例行维护及巡检。</w:t>
      </w:r>
    </w:p>
    <w:p>
      <w:pPr>
        <w:numPr>
          <w:ilvl w:val="0"/>
          <w:numId w:val="3"/>
        </w:numPr>
        <w:bidi w:val="0"/>
        <w:rPr>
          <w:rFonts w:hint="default"/>
          <w:lang w:val="en-US" w:eastAsia="zh-CN"/>
        </w:rPr>
      </w:pPr>
      <w:r>
        <w:rPr>
          <w:rFonts w:hint="eastAsia"/>
        </w:rPr>
        <w:t>培训：根据医院的情况制定相关培训方案，课程设置等。所有的培训费用必须计入投标总价。</w:t>
      </w:r>
    </w:p>
    <w:p>
      <w:pPr>
        <w:pStyle w:val="2"/>
        <w:bidi w:val="0"/>
        <w:ind w:left="0" w:leftChars="0" w:firstLine="0" w:firstLineChars="0"/>
      </w:pPr>
      <w:r>
        <w:rPr>
          <w:rFonts w:hint="eastAsia"/>
        </w:rPr>
        <w:t>评分标准</w:t>
      </w:r>
    </w:p>
    <w:p>
      <w:pPr>
        <w:pStyle w:val="3"/>
        <w:bidi w:val="0"/>
        <w:rPr>
          <w:rFonts w:hint="eastAsia"/>
        </w:rPr>
      </w:pPr>
      <w:r>
        <w:rPr>
          <w:rFonts w:hint="eastAsia"/>
        </w:rPr>
        <w:t>评标方法</w:t>
      </w:r>
    </w:p>
    <w:p>
      <w:pPr>
        <w:ind w:firstLine="480"/>
      </w:pPr>
      <w:r>
        <w:rPr>
          <w:rFonts w:hint="eastAsia"/>
        </w:rPr>
        <w:t>本次评标采用综合评分法，投标文件满足招标文件全部实质性要求且按照评审因素的量化指标评审得分最高的</w:t>
      </w:r>
      <w:r>
        <w:rPr>
          <w:rFonts w:hint="eastAsia"/>
          <w:lang w:eastAsia="zh-CN"/>
        </w:rPr>
        <w:t>投标人</w:t>
      </w:r>
      <w:r>
        <w:rPr>
          <w:rFonts w:hint="eastAsia"/>
        </w:rPr>
        <w:t>为中标候选人。</w:t>
      </w:r>
    </w:p>
    <w:p>
      <w:pPr>
        <w:pStyle w:val="3"/>
        <w:bidi w:val="0"/>
        <w:rPr>
          <w:rFonts w:hint="eastAsia"/>
        </w:rPr>
      </w:pPr>
      <w:r>
        <w:rPr>
          <w:rFonts w:hint="eastAsia"/>
        </w:rPr>
        <w:t>评分标准</w:t>
      </w:r>
    </w:p>
    <w:p>
      <w:pPr>
        <w:ind w:firstLine="480"/>
        <w:rPr>
          <w:rFonts w:hint="eastAsia" w:eastAsia="宋体"/>
        </w:rPr>
      </w:pPr>
      <w:r>
        <w:rPr>
          <w:rFonts w:hint="eastAsia" w:eastAsia="宋体"/>
        </w:rPr>
        <w:t>共100分，其中商务技术分</w:t>
      </w:r>
      <w:r>
        <w:rPr>
          <w:rFonts w:hint="eastAsia"/>
          <w:lang w:val="en-US" w:eastAsia="zh-CN"/>
        </w:rPr>
        <w:t>9</w:t>
      </w:r>
      <w:r>
        <w:rPr>
          <w:rFonts w:hint="eastAsia" w:eastAsia="宋体"/>
        </w:rPr>
        <w:t>0分，价格分</w:t>
      </w:r>
      <w:r>
        <w:rPr>
          <w:rFonts w:hint="eastAsia"/>
          <w:lang w:val="en-US" w:eastAsia="zh-CN"/>
        </w:rPr>
        <w:t>1</w:t>
      </w:r>
      <w:r>
        <w:rPr>
          <w:rFonts w:hint="eastAsia" w:eastAsia="宋体"/>
        </w:rPr>
        <w:t>0分。评分依下述所列为评标打分依据。</w:t>
      </w:r>
    </w:p>
    <w:p>
      <w:pPr>
        <w:pStyle w:val="4"/>
        <w:bidi w:val="0"/>
      </w:pPr>
      <w:r>
        <w:rPr>
          <w:rFonts w:hint="eastAsia"/>
        </w:rPr>
        <w:t>价格分</w:t>
      </w:r>
      <w:r>
        <w:rPr>
          <w:rFonts w:hint="eastAsia"/>
          <w:lang w:val="en-US" w:eastAsia="zh-CN"/>
        </w:rPr>
        <w:t>1</w:t>
      </w:r>
      <w:r>
        <w:rPr>
          <w:rFonts w:hint="eastAsia"/>
        </w:rPr>
        <w:t>0分</w:t>
      </w:r>
    </w:p>
    <w:p>
      <w:pPr>
        <w:ind w:firstLine="480"/>
      </w:pPr>
      <w:r>
        <w:rPr>
          <w:rFonts w:hint="eastAsia"/>
        </w:rPr>
        <w:t>不超过采购预算，满足招标文件要求且有效投标报价经政府采购优惠政策扣减后最终评审价格最低的为基准价。</w:t>
      </w:r>
    </w:p>
    <w:p>
      <w:pPr>
        <w:ind w:firstLine="480"/>
      </w:pPr>
      <w:r>
        <w:rPr>
          <w:rFonts w:hint="eastAsia"/>
        </w:rPr>
        <w:t>各</w:t>
      </w:r>
      <w:r>
        <w:rPr>
          <w:rFonts w:hint="eastAsia"/>
          <w:lang w:eastAsia="zh-CN"/>
        </w:rPr>
        <w:t>投标人</w:t>
      </w:r>
      <w:r>
        <w:rPr>
          <w:rFonts w:hint="eastAsia"/>
        </w:rPr>
        <w:t>的价格分统一按照下列公式计算：</w:t>
      </w:r>
    </w:p>
    <w:p>
      <w:pPr>
        <w:ind w:firstLine="482"/>
        <w:rPr>
          <w:rFonts w:hint="eastAsia"/>
        </w:rPr>
      </w:pPr>
      <w:r>
        <w:rPr>
          <w:rFonts w:hint="eastAsia"/>
        </w:rPr>
        <w:t>价格部分得分=基准价/各</w:t>
      </w:r>
      <w:r>
        <w:rPr>
          <w:rFonts w:hint="eastAsia"/>
          <w:lang w:eastAsia="zh-CN"/>
        </w:rPr>
        <w:t>投标人</w:t>
      </w:r>
      <w:r>
        <w:rPr>
          <w:rFonts w:hint="eastAsia"/>
        </w:rPr>
        <w:t>最终评审价格×</w:t>
      </w:r>
      <w:r>
        <w:rPr>
          <w:rFonts w:hint="eastAsia"/>
          <w:lang w:val="en-US" w:eastAsia="zh-CN"/>
        </w:rPr>
        <w:t>1</w:t>
      </w:r>
      <w:r>
        <w:rPr>
          <w:rFonts w:hint="eastAsia"/>
        </w:rPr>
        <w:t>0。</w:t>
      </w:r>
    </w:p>
    <w:p>
      <w:pPr>
        <w:ind w:firstLine="482"/>
        <w:rPr>
          <w:rFonts w:hint="eastAsia"/>
        </w:rPr>
      </w:pPr>
    </w:p>
    <w:p>
      <w:pPr>
        <w:pStyle w:val="4"/>
        <w:bidi w:val="0"/>
      </w:pPr>
      <w:r>
        <w:rPr>
          <w:rFonts w:hint="eastAsia"/>
        </w:rPr>
        <w:t>商务</w:t>
      </w:r>
      <w:r>
        <w:rPr>
          <w:rFonts w:hint="eastAsia"/>
          <w:lang w:val="en-US" w:eastAsia="zh-CN"/>
        </w:rPr>
        <w:t>技术</w:t>
      </w:r>
      <w:r>
        <w:rPr>
          <w:rFonts w:hint="eastAsia"/>
        </w:rPr>
        <w:t>分</w:t>
      </w:r>
      <w:r>
        <w:rPr>
          <w:rFonts w:hint="eastAsia"/>
          <w:lang w:val="en-US" w:eastAsia="zh-CN"/>
        </w:rPr>
        <w:t>9</w:t>
      </w:r>
      <w:r>
        <w:t>0</w:t>
      </w:r>
      <w:r>
        <w:rPr>
          <w:rFonts w:hint="eastAsia"/>
        </w:rPr>
        <w:t>分</w:t>
      </w:r>
    </w:p>
    <w:tbl>
      <w:tblPr>
        <w:tblStyle w:val="1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84"/>
        <w:gridCol w:w="6182"/>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4" w:type="pct"/>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评分项目</w:t>
            </w:r>
          </w:p>
        </w:tc>
        <w:tc>
          <w:tcPr>
            <w:tcW w:w="3627" w:type="pct"/>
            <w:tcBorders>
              <w:top w:val="single" w:color="000000"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评标要点及说明</w:t>
            </w:r>
          </w:p>
        </w:tc>
        <w:tc>
          <w:tcPr>
            <w:tcW w:w="678" w:type="pct"/>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7" w:hRule="atLeast"/>
        </w:trPr>
        <w:tc>
          <w:tcPr>
            <w:tcW w:w="694" w:type="pct"/>
            <w:tcBorders>
              <w:top w:val="nil"/>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企业及产品认证</w:t>
            </w:r>
          </w:p>
        </w:tc>
        <w:tc>
          <w:tcPr>
            <w:tcW w:w="362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老年</w:t>
            </w:r>
            <w:r>
              <w:rPr>
                <w:rFonts w:hint="eastAsia" w:ascii="宋体" w:hAnsi="宋体" w:eastAsia="宋体" w:cs="宋体"/>
                <w:i w:val="0"/>
                <w:iCs w:val="0"/>
                <w:color w:val="000000"/>
                <w:kern w:val="0"/>
                <w:sz w:val="21"/>
                <w:szCs w:val="21"/>
                <w:u w:val="none"/>
                <w:lang w:val="en-US" w:eastAsia="zh-CN" w:bidi="ar"/>
              </w:rPr>
              <w:t>系统软件</w:t>
            </w:r>
            <w:r>
              <w:rPr>
                <w:rFonts w:hint="eastAsia" w:ascii="宋体" w:hAnsi="宋体" w:cs="宋体"/>
                <w:i w:val="0"/>
                <w:iCs w:val="0"/>
                <w:color w:val="000000"/>
                <w:kern w:val="0"/>
                <w:sz w:val="21"/>
                <w:szCs w:val="21"/>
                <w:u w:val="none"/>
                <w:lang w:val="en-US" w:eastAsia="zh-CN" w:bidi="ar"/>
              </w:rPr>
              <w:t>相关</w:t>
            </w:r>
            <w:r>
              <w:rPr>
                <w:rFonts w:hint="eastAsia" w:ascii="宋体" w:hAnsi="宋体" w:eastAsia="宋体" w:cs="宋体"/>
                <w:i w:val="0"/>
                <w:iCs w:val="0"/>
                <w:color w:val="000000"/>
                <w:kern w:val="0"/>
                <w:sz w:val="21"/>
                <w:szCs w:val="21"/>
                <w:u w:val="none"/>
                <w:lang w:val="en-US" w:eastAsia="zh-CN" w:bidi="ar"/>
              </w:rPr>
              <w:t>著作权证书</w:t>
            </w:r>
            <w:r>
              <w:rPr>
                <w:rFonts w:hint="eastAsia" w:ascii="宋体" w:hAnsi="宋体" w:cs="宋体"/>
                <w:i w:val="0"/>
                <w:iCs w:val="0"/>
                <w:color w:val="000000"/>
                <w:kern w:val="0"/>
                <w:sz w:val="21"/>
                <w:szCs w:val="21"/>
                <w:u w:val="none"/>
                <w:lang w:val="en-US" w:eastAsia="zh-CN" w:bidi="ar"/>
              </w:rPr>
              <w:t>，每</w:t>
            </w:r>
            <w:r>
              <w:rPr>
                <w:rFonts w:hint="eastAsia" w:ascii="宋体" w:hAnsi="宋体" w:eastAsia="宋体" w:cs="宋体"/>
                <w:i w:val="0"/>
                <w:iCs w:val="0"/>
                <w:color w:val="000000"/>
                <w:kern w:val="0"/>
                <w:sz w:val="21"/>
                <w:szCs w:val="21"/>
                <w:u w:val="none"/>
                <w:lang w:val="en-US" w:eastAsia="zh-CN" w:bidi="ar"/>
              </w:rPr>
              <w:t>份得</w:t>
            </w:r>
            <w:r>
              <w:rPr>
                <w:rFonts w:hint="eastAsia" w:ascii="宋体" w:hAnsi="宋体" w:cs="宋体"/>
                <w:i w:val="0"/>
                <w:iCs w:val="0"/>
                <w:color w:val="000000"/>
                <w:kern w:val="0"/>
                <w:sz w:val="21"/>
                <w:szCs w:val="21"/>
                <w:u w:val="none"/>
                <w:lang w:val="en-US" w:eastAsia="zh-CN" w:bidi="ar"/>
              </w:rPr>
              <w:t>2</w:t>
            </w:r>
            <w:r>
              <w:rPr>
                <w:rStyle w:val="23"/>
                <w:lang w:val="en-US" w:eastAsia="zh-CN" w:bidi="ar"/>
              </w:rPr>
              <w:t>分，</w:t>
            </w:r>
            <w:r>
              <w:rPr>
                <w:rStyle w:val="23"/>
                <w:rFonts w:hint="eastAsia"/>
                <w:lang w:val="en-US" w:eastAsia="zh-CN" w:bidi="ar"/>
              </w:rPr>
              <w:t>最高4分。</w:t>
            </w:r>
            <w:bookmarkStart w:id="2" w:name="_GoBack"/>
            <w:bookmarkEnd w:id="2"/>
          </w:p>
        </w:tc>
        <w:tc>
          <w:tcPr>
            <w:tcW w:w="678" w:type="pct"/>
            <w:tcBorders>
              <w:top w:val="nil"/>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lang w:val="en-US" w:eastAsia="zh-CN"/>
              </w:rPr>
            </w:pPr>
            <w:r>
              <w:rPr>
                <w:rFonts w:hint="eastAsia" w:ascii="Calibri" w:hAnsi="Calibri" w:cs="Calibri"/>
                <w:i w:val="0"/>
                <w:iCs w:val="0"/>
                <w:color w:val="000000"/>
                <w:sz w:val="21"/>
                <w:szCs w:val="21"/>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94" w:type="pct"/>
            <w:tcBorders>
              <w:top w:val="nil"/>
              <w:left w:val="single" w:color="000000" w:sz="4"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业绩</w:t>
            </w:r>
            <w:r>
              <w:rPr>
                <w:rStyle w:val="23"/>
                <w:lang w:val="en-US" w:eastAsia="zh-CN" w:bidi="ar"/>
              </w:rPr>
              <w:t>证明</w:t>
            </w:r>
          </w:p>
        </w:tc>
        <w:tc>
          <w:tcPr>
            <w:tcW w:w="3627" w:type="pct"/>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投标人或原厂厂家须提供近三年（开标之日往前追溯三年，以签订合同之日或中标通知书发出之日为准）的同类型（</w:t>
            </w:r>
            <w:r>
              <w:rPr>
                <w:rFonts w:hint="eastAsia" w:ascii="宋体" w:hAnsi="宋体" w:cs="宋体"/>
                <w:i w:val="0"/>
                <w:iCs w:val="0"/>
                <w:color w:val="000000"/>
                <w:kern w:val="0"/>
                <w:sz w:val="21"/>
                <w:szCs w:val="21"/>
                <w:u w:val="none"/>
                <w:lang w:val="en-US" w:eastAsia="zh-CN" w:bidi="ar"/>
              </w:rPr>
              <w:t>老年肌少症</w:t>
            </w:r>
            <w:r>
              <w:rPr>
                <w:rFonts w:hint="eastAsia" w:ascii="宋体" w:hAnsi="宋体" w:eastAsia="宋体" w:cs="宋体"/>
                <w:i w:val="0"/>
                <w:iCs w:val="0"/>
                <w:color w:val="000000"/>
                <w:kern w:val="0"/>
                <w:sz w:val="21"/>
                <w:szCs w:val="21"/>
                <w:u w:val="none"/>
                <w:lang w:val="en-US" w:eastAsia="zh-CN" w:bidi="ar"/>
              </w:rPr>
              <w:t>）建设项目应用案例，每提供一个有效业绩得</w:t>
            </w:r>
            <w:r>
              <w:rPr>
                <w:rStyle w:val="22"/>
                <w:rFonts w:hint="eastAsia"/>
                <w:lang w:val="en-US" w:eastAsia="zh-CN" w:bidi="ar"/>
              </w:rPr>
              <w:t>2</w:t>
            </w:r>
            <w:r>
              <w:rPr>
                <w:rStyle w:val="23"/>
                <w:lang w:val="en-US" w:eastAsia="zh-CN" w:bidi="ar"/>
              </w:rPr>
              <w:t>分，最高得</w:t>
            </w:r>
            <w:r>
              <w:rPr>
                <w:rStyle w:val="23"/>
                <w:rFonts w:hint="eastAsia"/>
                <w:lang w:val="en-US" w:eastAsia="zh-CN" w:bidi="ar"/>
              </w:rPr>
              <w:t>4</w:t>
            </w:r>
            <w:r>
              <w:rPr>
                <w:rStyle w:val="23"/>
                <w:lang w:val="en-US" w:eastAsia="zh-CN" w:bidi="ar"/>
              </w:rPr>
              <w:t>分。（提供中标通知书或合同复印件）。</w:t>
            </w:r>
          </w:p>
        </w:tc>
        <w:tc>
          <w:tcPr>
            <w:tcW w:w="678" w:type="pct"/>
            <w:tcBorders>
              <w:top w:val="nil"/>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宋体" w:cs="Calibri"/>
                <w:i w:val="0"/>
                <w:iCs w:val="0"/>
                <w:color w:val="000000"/>
                <w:sz w:val="21"/>
                <w:szCs w:val="21"/>
                <w:u w:val="none"/>
                <w:lang w:val="en-US" w:eastAsia="zh-CN"/>
              </w:rPr>
            </w:pPr>
            <w:r>
              <w:rPr>
                <w:rFonts w:hint="eastAsia" w:ascii="Calibri" w:hAnsi="Calibri" w:cs="Calibri"/>
                <w:i w:val="0"/>
                <w:iCs w:val="0"/>
                <w:color w:val="000000"/>
                <w:sz w:val="21"/>
                <w:szCs w:val="21"/>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694" w:type="pct"/>
            <w:vMerge w:val="restart"/>
            <w:tcBorders>
              <w:top w:val="single" w:color="auto" w:sz="4" w:space="0"/>
              <w:left w:val="single" w:color="auto" w:sz="4"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技术响应部分</w:t>
            </w:r>
          </w:p>
        </w:tc>
        <w:tc>
          <w:tcPr>
            <w:tcW w:w="3627" w:type="pct"/>
            <w:tcBorders>
              <w:top w:val="single" w:color="auto" w:sz="4" w:space="0"/>
              <w:left w:val="single" w:color="000000" w:sz="8"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根据报价人</w:t>
            </w:r>
            <w:r>
              <w:rPr>
                <w:rFonts w:hint="eastAsia" w:ascii="宋体" w:hAnsi="宋体" w:cs="宋体"/>
                <w:i w:val="0"/>
                <w:iCs w:val="0"/>
                <w:color w:val="000000"/>
                <w:kern w:val="0"/>
                <w:sz w:val="21"/>
                <w:szCs w:val="21"/>
                <w:u w:val="none"/>
                <w:lang w:val="en-US" w:eastAsia="zh-CN" w:bidi="ar"/>
              </w:rPr>
              <w:t>对</w:t>
            </w:r>
            <w:r>
              <w:rPr>
                <w:rFonts w:hint="eastAsia" w:ascii="宋体" w:hAnsi="宋体" w:eastAsia="宋体" w:cs="宋体"/>
                <w:i w:val="0"/>
                <w:iCs w:val="0"/>
                <w:color w:val="000000"/>
                <w:kern w:val="0"/>
                <w:sz w:val="21"/>
                <w:szCs w:val="21"/>
                <w:u w:val="none"/>
                <w:lang w:val="en-US" w:eastAsia="zh-CN" w:bidi="ar"/>
              </w:rPr>
              <w:t>项目</w:t>
            </w:r>
            <w:r>
              <w:rPr>
                <w:rFonts w:hint="eastAsia" w:ascii="宋体" w:hAnsi="宋体" w:cs="宋体"/>
                <w:i w:val="0"/>
                <w:iCs w:val="0"/>
                <w:color w:val="000000"/>
                <w:kern w:val="0"/>
                <w:sz w:val="21"/>
                <w:szCs w:val="21"/>
                <w:u w:val="none"/>
                <w:lang w:val="en-US" w:eastAsia="zh-CN" w:bidi="ar"/>
              </w:rPr>
              <w:t>技术要求、功能要求的具体响应情况</w:t>
            </w:r>
            <w:r>
              <w:rPr>
                <w:rFonts w:hint="eastAsia" w:ascii="宋体" w:hAnsi="宋体" w:eastAsia="宋体" w:cs="宋体"/>
                <w:i w:val="0"/>
                <w:iCs w:val="0"/>
                <w:color w:val="000000"/>
                <w:kern w:val="0"/>
                <w:sz w:val="21"/>
                <w:szCs w:val="21"/>
                <w:u w:val="none"/>
                <w:lang w:val="en-US" w:eastAsia="zh-CN" w:bidi="ar"/>
              </w:rPr>
              <w:t>。</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 项目</w:t>
            </w:r>
            <w:r>
              <w:rPr>
                <w:rFonts w:hint="eastAsia" w:ascii="宋体" w:hAnsi="宋体" w:cs="宋体"/>
                <w:i w:val="0"/>
                <w:iCs w:val="0"/>
                <w:color w:val="000000"/>
                <w:kern w:val="0"/>
                <w:sz w:val="21"/>
                <w:szCs w:val="21"/>
                <w:u w:val="none"/>
                <w:lang w:val="en-US" w:eastAsia="zh-CN" w:bidi="ar"/>
              </w:rPr>
              <w:t>完全符合技术要求</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满足功能需要</w:t>
            </w:r>
            <w:r>
              <w:rPr>
                <w:rFonts w:hint="eastAsia" w:ascii="宋体" w:hAnsi="宋体" w:eastAsia="宋体" w:cs="宋体"/>
                <w:i w:val="0"/>
                <w:iCs w:val="0"/>
                <w:color w:val="000000"/>
                <w:kern w:val="0"/>
                <w:sz w:val="21"/>
                <w:szCs w:val="21"/>
                <w:u w:val="none"/>
                <w:lang w:val="en-US" w:eastAsia="zh-CN" w:bidi="ar"/>
              </w:rPr>
              <w:t>，得 20 分；</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 项目</w:t>
            </w:r>
            <w:r>
              <w:rPr>
                <w:rFonts w:hint="eastAsia" w:ascii="宋体" w:hAnsi="宋体" w:cs="宋体"/>
                <w:i w:val="0"/>
                <w:iCs w:val="0"/>
                <w:color w:val="000000"/>
                <w:kern w:val="0"/>
                <w:sz w:val="21"/>
                <w:szCs w:val="21"/>
                <w:u w:val="none"/>
                <w:lang w:val="en-US" w:eastAsia="zh-CN" w:bidi="ar"/>
              </w:rPr>
              <w:t>部分</w:t>
            </w:r>
            <w:r>
              <w:rPr>
                <w:rFonts w:hint="eastAsia" w:ascii="宋体" w:hAnsi="宋体" w:eastAsia="宋体" w:cs="宋体"/>
                <w:i w:val="0"/>
                <w:iCs w:val="0"/>
                <w:color w:val="000000"/>
                <w:kern w:val="0"/>
                <w:sz w:val="21"/>
                <w:szCs w:val="21"/>
                <w:u w:val="none"/>
                <w:lang w:val="en-US" w:eastAsia="zh-CN" w:bidi="ar"/>
              </w:rPr>
              <w:t>符合</w:t>
            </w:r>
            <w:r>
              <w:rPr>
                <w:rFonts w:hint="eastAsia" w:ascii="宋体" w:hAnsi="宋体" w:cs="宋体"/>
                <w:i w:val="0"/>
                <w:iCs w:val="0"/>
                <w:color w:val="000000"/>
                <w:kern w:val="0"/>
                <w:sz w:val="21"/>
                <w:szCs w:val="21"/>
                <w:u w:val="none"/>
                <w:lang w:val="en-US" w:eastAsia="zh-CN" w:bidi="ar"/>
              </w:rPr>
              <w:t>技术要求</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满足功能需要</w:t>
            </w:r>
            <w:r>
              <w:rPr>
                <w:rFonts w:hint="eastAsia" w:ascii="宋体" w:hAnsi="宋体" w:eastAsia="宋体" w:cs="宋体"/>
                <w:i w:val="0"/>
                <w:iCs w:val="0"/>
                <w:color w:val="000000"/>
                <w:kern w:val="0"/>
                <w:sz w:val="21"/>
                <w:szCs w:val="21"/>
                <w:u w:val="none"/>
                <w:lang w:val="en-US" w:eastAsia="zh-CN" w:bidi="ar"/>
              </w:rPr>
              <w:t>，得 15分；</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 项目</w:t>
            </w:r>
            <w:r>
              <w:rPr>
                <w:rFonts w:hint="eastAsia" w:ascii="宋体" w:hAnsi="宋体" w:cs="宋体"/>
                <w:i w:val="0"/>
                <w:iCs w:val="0"/>
                <w:color w:val="000000"/>
                <w:kern w:val="0"/>
                <w:sz w:val="21"/>
                <w:szCs w:val="21"/>
                <w:u w:val="none"/>
                <w:lang w:val="en-US" w:eastAsia="zh-CN" w:bidi="ar"/>
              </w:rPr>
              <w:t>基本符合技术要求</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符合部分功能需要</w:t>
            </w:r>
            <w:r>
              <w:rPr>
                <w:rFonts w:hint="eastAsia" w:ascii="宋体" w:hAnsi="宋体" w:eastAsia="宋体" w:cs="宋体"/>
                <w:i w:val="0"/>
                <w:iCs w:val="0"/>
                <w:color w:val="000000"/>
                <w:kern w:val="0"/>
                <w:sz w:val="21"/>
                <w:szCs w:val="21"/>
                <w:u w:val="none"/>
                <w:lang w:val="en-US" w:eastAsia="zh-CN" w:bidi="ar"/>
              </w:rPr>
              <w:t>，得 10分。</w:t>
            </w:r>
          </w:p>
          <w:p>
            <w:pPr>
              <w:keepNext w:val="0"/>
              <w:keepLines w:val="0"/>
              <w:widowControl/>
              <w:suppressLineNumbers w:val="0"/>
              <w:jc w:val="both"/>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 xml:space="preserve">(4) </w:t>
            </w:r>
            <w:r>
              <w:rPr>
                <w:rFonts w:hint="eastAsia" w:ascii="宋体" w:hAnsi="宋体" w:cs="宋体"/>
                <w:i w:val="0"/>
                <w:iCs w:val="0"/>
                <w:color w:val="000000"/>
                <w:kern w:val="0"/>
                <w:sz w:val="21"/>
                <w:szCs w:val="21"/>
                <w:u w:val="none"/>
                <w:lang w:val="en-US" w:eastAsia="zh-CN" w:bidi="ar"/>
              </w:rPr>
              <w:t>完全不符合功能需要</w:t>
            </w:r>
            <w:r>
              <w:rPr>
                <w:rFonts w:hint="eastAsia" w:ascii="宋体" w:hAnsi="宋体" w:eastAsia="宋体" w:cs="宋体"/>
                <w:i w:val="0"/>
                <w:iCs w:val="0"/>
                <w:color w:val="000000"/>
                <w:kern w:val="0"/>
                <w:sz w:val="21"/>
                <w:szCs w:val="21"/>
                <w:u w:val="none"/>
                <w:lang w:val="en-US" w:eastAsia="zh-CN" w:bidi="ar"/>
              </w:rPr>
              <w:t>，得 0 分。</w:t>
            </w:r>
          </w:p>
        </w:tc>
        <w:tc>
          <w:tcPr>
            <w:tcW w:w="678" w:type="pct"/>
            <w:vMerge w:val="restart"/>
            <w:tcBorders>
              <w:top w:val="nil"/>
              <w:left w:val="single" w:color="auto"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lang w:val="en-US" w:eastAsia="zh-CN"/>
              </w:rPr>
            </w:pPr>
            <w:r>
              <w:rPr>
                <w:rFonts w:hint="eastAsia" w:ascii="Calibri" w:hAnsi="Calibri" w:cs="Calibri"/>
                <w:i w:val="0"/>
                <w:iCs w:val="0"/>
                <w:color w:val="000000"/>
                <w:sz w:val="21"/>
                <w:szCs w:val="21"/>
                <w:u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694" w:type="pct"/>
            <w:vMerge w:val="restart"/>
            <w:tcBorders>
              <w:top w:val="single" w:color="auto"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组织实施方案</w:t>
            </w:r>
          </w:p>
        </w:tc>
        <w:tc>
          <w:tcPr>
            <w:tcW w:w="3627" w:type="pct"/>
            <w:tcBorders>
              <w:top w:val="single" w:color="auto" w:sz="4" w:space="0"/>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根据投标人项目组织实施方案的科学性、合理性、规范性和可操作性，包括安装调试、组织机构、工作时间进度表、工作程序和步骤、管理和协调方法等。</w:t>
            </w:r>
          </w:p>
        </w:tc>
        <w:tc>
          <w:tcPr>
            <w:tcW w:w="678" w:type="pct"/>
            <w:vMerge w:val="restart"/>
            <w:tcBorders>
              <w:top w:val="nil"/>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cs="Times New Roman"/>
                <w:i w:val="0"/>
                <w:iCs w:val="0"/>
                <w:color w:val="000000"/>
                <w:sz w:val="21"/>
                <w:szCs w:val="21"/>
                <w:u w:val="none"/>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4"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3627"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 xml:space="preserve">(1) </w:t>
            </w:r>
            <w:r>
              <w:rPr>
                <w:rStyle w:val="23"/>
                <w:color w:val="000000" w:themeColor="text1"/>
                <w:lang w:val="en-US" w:eastAsia="zh-CN" w:bidi="ar"/>
                <w14:textFill>
                  <w14:solidFill>
                    <w14:schemeClr w14:val="tx1"/>
                  </w14:solidFill>
                </w14:textFill>
              </w:rPr>
              <w:t xml:space="preserve">项目实施标准规范、实际操作性强，得 </w:t>
            </w:r>
            <w:r>
              <w:rPr>
                <w:rStyle w:val="23"/>
                <w:rFonts w:hint="eastAsia"/>
                <w:color w:val="000000" w:themeColor="text1"/>
                <w:lang w:val="en-US" w:eastAsia="zh-CN" w:bidi="ar"/>
                <w14:textFill>
                  <w14:solidFill>
                    <w14:schemeClr w14:val="tx1"/>
                  </w14:solidFill>
                </w14:textFill>
              </w:rPr>
              <w:t>15</w:t>
            </w:r>
            <w:r>
              <w:rPr>
                <w:rStyle w:val="22"/>
                <w:rFonts w:eastAsia="宋体"/>
                <w:color w:val="000000" w:themeColor="text1"/>
                <w:lang w:val="en-US" w:eastAsia="zh-CN" w:bidi="ar"/>
                <w14:textFill>
                  <w14:solidFill>
                    <w14:schemeClr w14:val="tx1"/>
                  </w14:solidFill>
                </w14:textFill>
              </w:rPr>
              <w:t xml:space="preserve"> </w:t>
            </w:r>
            <w:r>
              <w:rPr>
                <w:rStyle w:val="23"/>
                <w:color w:val="000000" w:themeColor="text1"/>
                <w:lang w:val="en-US" w:eastAsia="zh-CN" w:bidi="ar"/>
                <w14:textFill>
                  <w14:solidFill>
                    <w14:schemeClr w14:val="tx1"/>
                  </w14:solidFill>
                </w14:textFill>
              </w:rPr>
              <w:t>分；</w:t>
            </w:r>
          </w:p>
        </w:tc>
        <w:tc>
          <w:tcPr>
            <w:tcW w:w="678" w:type="pct"/>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4"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3627"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 xml:space="preserve">(2) </w:t>
            </w:r>
            <w:r>
              <w:rPr>
                <w:rStyle w:val="23"/>
                <w:color w:val="000000" w:themeColor="text1"/>
                <w:lang w:val="en-US" w:eastAsia="zh-CN" w:bidi="ar"/>
                <w14:textFill>
                  <w14:solidFill>
                    <w14:schemeClr w14:val="tx1"/>
                  </w14:solidFill>
                </w14:textFill>
              </w:rPr>
              <w:t xml:space="preserve">项目实施符合规范、实际操作性一般，得 </w:t>
            </w:r>
            <w:r>
              <w:rPr>
                <w:rStyle w:val="23"/>
                <w:rFonts w:hint="eastAsia"/>
                <w:color w:val="000000" w:themeColor="text1"/>
                <w:lang w:val="en-US" w:eastAsia="zh-CN" w:bidi="ar"/>
                <w14:textFill>
                  <w14:solidFill>
                    <w14:schemeClr w14:val="tx1"/>
                  </w14:solidFill>
                </w14:textFill>
              </w:rPr>
              <w:t>12</w:t>
            </w:r>
            <w:r>
              <w:rPr>
                <w:rStyle w:val="23"/>
                <w:color w:val="000000" w:themeColor="text1"/>
                <w:lang w:val="en-US" w:eastAsia="zh-CN" w:bidi="ar"/>
                <w14:textFill>
                  <w14:solidFill>
                    <w14:schemeClr w14:val="tx1"/>
                  </w14:solidFill>
                </w14:textFill>
              </w:rPr>
              <w:t>分；</w:t>
            </w:r>
          </w:p>
        </w:tc>
        <w:tc>
          <w:tcPr>
            <w:tcW w:w="678" w:type="pct"/>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4"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3627"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 xml:space="preserve">(3) </w:t>
            </w:r>
            <w:r>
              <w:rPr>
                <w:rStyle w:val="23"/>
                <w:color w:val="000000" w:themeColor="text1"/>
                <w:lang w:val="en-US" w:eastAsia="zh-CN" w:bidi="ar"/>
                <w14:textFill>
                  <w14:solidFill>
                    <w14:schemeClr w14:val="tx1"/>
                  </w14:solidFill>
                </w14:textFill>
              </w:rPr>
              <w:t xml:space="preserve">项目实施基本规范、实际操作性弱，得 </w:t>
            </w:r>
            <w:r>
              <w:rPr>
                <w:rStyle w:val="23"/>
                <w:rFonts w:hint="eastAsia"/>
                <w:color w:val="000000" w:themeColor="text1"/>
                <w:lang w:val="en-US" w:eastAsia="zh-CN" w:bidi="ar"/>
                <w14:textFill>
                  <w14:solidFill>
                    <w14:schemeClr w14:val="tx1"/>
                  </w14:solidFill>
                </w14:textFill>
              </w:rPr>
              <w:t>8</w:t>
            </w:r>
            <w:r>
              <w:rPr>
                <w:rStyle w:val="23"/>
                <w:color w:val="000000" w:themeColor="text1"/>
                <w:lang w:val="en-US" w:eastAsia="zh-CN" w:bidi="ar"/>
                <w14:textFill>
                  <w14:solidFill>
                    <w14:schemeClr w14:val="tx1"/>
                  </w14:solidFill>
                </w14:textFill>
              </w:rPr>
              <w:t>分；</w:t>
            </w:r>
          </w:p>
        </w:tc>
        <w:tc>
          <w:tcPr>
            <w:tcW w:w="678" w:type="pct"/>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694"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362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 xml:space="preserve">(4) </w:t>
            </w:r>
            <w:r>
              <w:rPr>
                <w:rStyle w:val="23"/>
                <w:color w:val="000000" w:themeColor="text1"/>
                <w:lang w:val="en-US" w:eastAsia="zh-CN" w:bidi="ar"/>
                <w14:textFill>
                  <w14:solidFill>
                    <w14:schemeClr w14:val="tx1"/>
                  </w14:solidFill>
                </w14:textFill>
              </w:rPr>
              <w:t xml:space="preserve">没有提供，得 </w:t>
            </w:r>
            <w:r>
              <w:rPr>
                <w:rStyle w:val="22"/>
                <w:rFonts w:eastAsia="宋体"/>
                <w:color w:val="000000" w:themeColor="text1"/>
                <w:lang w:val="en-US" w:eastAsia="zh-CN" w:bidi="ar"/>
                <w14:textFill>
                  <w14:solidFill>
                    <w14:schemeClr w14:val="tx1"/>
                  </w14:solidFill>
                </w14:textFill>
              </w:rPr>
              <w:t xml:space="preserve">0 </w:t>
            </w:r>
            <w:r>
              <w:rPr>
                <w:rStyle w:val="23"/>
                <w:color w:val="000000" w:themeColor="text1"/>
                <w:lang w:val="en-US" w:eastAsia="zh-CN" w:bidi="ar"/>
                <w14:textFill>
                  <w14:solidFill>
                    <w14:schemeClr w14:val="tx1"/>
                  </w14:solidFill>
                </w14:textFill>
              </w:rPr>
              <w:t>分。</w:t>
            </w:r>
          </w:p>
        </w:tc>
        <w:tc>
          <w:tcPr>
            <w:tcW w:w="678" w:type="pct"/>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9" w:hRule="atLeast"/>
        </w:trPr>
        <w:tc>
          <w:tcPr>
            <w:tcW w:w="694" w:type="pct"/>
            <w:vMerge w:val="restart"/>
            <w:tcBorders>
              <w:top w:val="nil"/>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项目团队</w:t>
            </w:r>
          </w:p>
        </w:tc>
        <w:tc>
          <w:tcPr>
            <w:tcW w:w="362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投标人拟派的现场项目经理</w:t>
            </w: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1名</w:t>
            </w:r>
            <w:r>
              <w:rPr>
                <w:rStyle w:val="23"/>
                <w:color w:val="000000" w:themeColor="text1"/>
                <w:lang w:val="en-US" w:eastAsia="zh-CN" w:bidi="ar"/>
                <w14:textFill>
                  <w14:solidFill>
                    <w14:schemeClr w14:val="tx1"/>
                  </w14:solidFill>
                </w14:textFill>
              </w:rPr>
              <w:t>，并提供</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近半年为其缴纳社保证件扫描件，否则不予认可</w:t>
            </w:r>
            <w:r>
              <w:rPr>
                <w:rStyle w:val="23"/>
                <w:color w:val="000000" w:themeColor="text1"/>
                <w:lang w:val="en-US" w:eastAsia="zh-CN" w:bidi="ar"/>
                <w14:textFill>
                  <w14:solidFill>
                    <w14:schemeClr w14:val="tx1"/>
                  </w14:solidFill>
                </w14:textFill>
              </w:rPr>
              <w:t xml:space="preserve">，完全满足得 </w:t>
            </w:r>
            <w:r>
              <w:rPr>
                <w:rStyle w:val="23"/>
                <w:rFonts w:hint="eastAsia"/>
                <w:color w:val="000000" w:themeColor="text1"/>
                <w:lang w:val="en-US" w:eastAsia="zh-CN" w:bidi="ar"/>
                <w14:textFill>
                  <w14:solidFill>
                    <w14:schemeClr w14:val="tx1"/>
                  </w14:solidFill>
                </w14:textFill>
              </w:rPr>
              <w:t>2</w:t>
            </w:r>
            <w:r>
              <w:rPr>
                <w:rStyle w:val="23"/>
                <w:color w:val="000000" w:themeColor="text1"/>
                <w:lang w:val="en-US" w:eastAsia="zh-CN" w:bidi="ar"/>
                <w14:textFill>
                  <w14:solidFill>
                    <w14:schemeClr w14:val="tx1"/>
                  </w14:solidFill>
                </w14:textFill>
              </w:rPr>
              <w:t>分，否则不得分。</w:t>
            </w:r>
          </w:p>
        </w:tc>
        <w:tc>
          <w:tcPr>
            <w:tcW w:w="678" w:type="pct"/>
            <w:vMerge w:val="restart"/>
            <w:tcBorders>
              <w:top w:val="nil"/>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lang w:val="en-US" w:eastAsia="zh-CN"/>
                <w14:textFill>
                  <w14:solidFill>
                    <w14:schemeClr w14:val="tx1"/>
                  </w14:solidFill>
                </w14:textFill>
              </w:rPr>
            </w:pPr>
            <w:r>
              <w:rPr>
                <w:rFonts w:hint="eastAsia" w:ascii="Times New Roman" w:hAnsi="Times New Roman" w:cs="Times New Roman"/>
                <w:i w:val="0"/>
                <w:iCs w:val="0"/>
                <w:color w:val="000000" w:themeColor="text1"/>
                <w:sz w:val="21"/>
                <w:szCs w:val="21"/>
                <w:u w:val="none"/>
                <w:lang w:val="en-US" w:eastAsia="zh-CN"/>
                <w14:textFill>
                  <w14:solidFill>
                    <w14:schemeClr w14:val="tx1"/>
                  </w14:solidFill>
                </w14:textFill>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4"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3627" w:type="pct"/>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原厂厂家</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拟派的项目组其他</w:t>
            </w: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技术</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成员结构合理：</w:t>
            </w:r>
          </w:p>
        </w:tc>
        <w:tc>
          <w:tcPr>
            <w:tcW w:w="678" w:type="pct"/>
            <w:vMerge w:val="restart"/>
            <w:tcBorders>
              <w:top w:val="nil"/>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eastAsia" w:ascii="Times New Roman" w:hAnsi="Times New Roman" w:cs="Times New Roman"/>
                <w:i w:val="0"/>
                <w:iCs w:val="0"/>
                <w:color w:val="000000" w:themeColor="text1"/>
                <w:kern w:val="0"/>
                <w:sz w:val="21"/>
                <w:szCs w:val="21"/>
                <w:u w:val="none"/>
                <w:lang w:val="en-US" w:eastAsia="zh-CN" w:bidi="ar"/>
                <w14:textFill>
                  <w14:solidFill>
                    <w14:schemeClr w14:val="tx1"/>
                  </w14:solidFill>
                </w14:textFill>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694"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3627" w:type="pct"/>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1</w:t>
            </w:r>
            <w:r>
              <w:rPr>
                <w:rStyle w:val="23"/>
                <w:color w:val="000000" w:themeColor="text1"/>
                <w:lang w:val="en-US" w:eastAsia="zh-CN" w:bidi="ar"/>
                <w14:textFill>
                  <w14:solidFill>
                    <w14:schemeClr w14:val="tx1"/>
                  </w14:solidFill>
                </w14:textFill>
              </w:rPr>
              <w:t>、</w:t>
            </w:r>
            <w:r>
              <w:rPr>
                <w:rStyle w:val="22"/>
                <w:rFonts w:eastAsia="宋体"/>
                <w:color w:val="000000" w:themeColor="text1"/>
                <w:lang w:val="en-US" w:eastAsia="zh-CN" w:bidi="ar"/>
                <w14:textFill>
                  <w14:solidFill>
                    <w14:schemeClr w14:val="tx1"/>
                  </w14:solidFill>
                </w14:textFill>
              </w:rPr>
              <w:t>1</w:t>
            </w:r>
            <w:r>
              <w:rPr>
                <w:rStyle w:val="23"/>
                <w:color w:val="000000" w:themeColor="text1"/>
                <w:lang w:val="en-US" w:eastAsia="zh-CN" w:bidi="ar"/>
                <w14:textFill>
                  <w14:solidFill>
                    <w14:schemeClr w14:val="tx1"/>
                  </w14:solidFill>
                </w14:textFill>
              </w:rPr>
              <w:t>个程序员</w:t>
            </w:r>
          </w:p>
        </w:tc>
        <w:tc>
          <w:tcPr>
            <w:tcW w:w="678" w:type="pct"/>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FF"/>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694"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3627" w:type="pct"/>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2</w:t>
            </w:r>
            <w:r>
              <w:rPr>
                <w:rStyle w:val="23"/>
                <w:color w:val="000000" w:themeColor="text1"/>
                <w:lang w:val="en-US" w:eastAsia="zh-CN" w:bidi="ar"/>
                <w14:textFill>
                  <w14:solidFill>
                    <w14:schemeClr w14:val="tx1"/>
                  </w14:solidFill>
                </w14:textFill>
              </w:rPr>
              <w:t>、</w:t>
            </w:r>
            <w:r>
              <w:rPr>
                <w:rStyle w:val="22"/>
                <w:rFonts w:eastAsia="宋体"/>
                <w:color w:val="000000" w:themeColor="text1"/>
                <w:lang w:val="en-US" w:eastAsia="zh-CN" w:bidi="ar"/>
                <w14:textFill>
                  <w14:solidFill>
                    <w14:schemeClr w14:val="tx1"/>
                  </w14:solidFill>
                </w14:textFill>
              </w:rPr>
              <w:t>1</w:t>
            </w:r>
            <w:r>
              <w:rPr>
                <w:rStyle w:val="23"/>
                <w:color w:val="000000" w:themeColor="text1"/>
                <w:lang w:val="en-US" w:eastAsia="zh-CN" w:bidi="ar"/>
                <w14:textFill>
                  <w14:solidFill>
                    <w14:schemeClr w14:val="tx1"/>
                  </w14:solidFill>
                </w14:textFill>
              </w:rPr>
              <w:t>个软件设计师</w:t>
            </w:r>
          </w:p>
        </w:tc>
        <w:tc>
          <w:tcPr>
            <w:tcW w:w="678" w:type="pct"/>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FF"/>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694"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3627" w:type="pct"/>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3</w:t>
            </w:r>
            <w:r>
              <w:rPr>
                <w:rStyle w:val="23"/>
                <w:color w:val="000000" w:themeColor="text1"/>
                <w:lang w:val="en-US" w:eastAsia="zh-CN" w:bidi="ar"/>
                <w14:textFill>
                  <w14:solidFill>
                    <w14:schemeClr w14:val="tx1"/>
                  </w14:solidFill>
                </w14:textFill>
              </w:rPr>
              <w:t>、</w:t>
            </w:r>
            <w:r>
              <w:rPr>
                <w:rStyle w:val="22"/>
                <w:rFonts w:eastAsia="宋体"/>
                <w:color w:val="000000" w:themeColor="text1"/>
                <w:lang w:val="en-US" w:eastAsia="zh-CN" w:bidi="ar"/>
                <w14:textFill>
                  <w14:solidFill>
                    <w14:schemeClr w14:val="tx1"/>
                  </w14:solidFill>
                </w14:textFill>
              </w:rPr>
              <w:t>1</w:t>
            </w:r>
            <w:r>
              <w:rPr>
                <w:rStyle w:val="23"/>
                <w:color w:val="000000" w:themeColor="text1"/>
                <w:lang w:val="en-US" w:eastAsia="zh-CN" w:bidi="ar"/>
                <w14:textFill>
                  <w14:solidFill>
                    <w14:schemeClr w14:val="tx1"/>
                  </w14:solidFill>
                </w14:textFill>
              </w:rPr>
              <w:t>个信息处理技术员</w:t>
            </w:r>
          </w:p>
        </w:tc>
        <w:tc>
          <w:tcPr>
            <w:tcW w:w="678" w:type="pct"/>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FF"/>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694" w:type="pct"/>
            <w:vMerge w:val="continue"/>
            <w:tcBorders>
              <w:top w:val="nil"/>
              <w:left w:val="single" w:color="000000" w:sz="4" w:space="0"/>
              <w:bottom w:val="single" w:color="auto" w:sz="4" w:space="0"/>
              <w:right w:val="single" w:color="000000" w:sz="8"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3627" w:type="pct"/>
            <w:tcBorders>
              <w:top w:val="nil"/>
              <w:left w:val="nil"/>
              <w:bottom w:val="single" w:color="auto" w:sz="4" w:space="0"/>
              <w:right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全部满足的得 </w:t>
            </w:r>
            <w:r>
              <w:rPr>
                <w:rStyle w:val="22"/>
                <w:rFonts w:hint="eastAsia"/>
                <w:color w:val="000000" w:themeColor="text1"/>
                <w:lang w:val="en-US" w:eastAsia="zh-CN" w:bidi="ar"/>
                <w14:textFill>
                  <w14:solidFill>
                    <w14:schemeClr w14:val="tx1"/>
                  </w14:solidFill>
                </w14:textFill>
              </w:rPr>
              <w:t>6</w:t>
            </w:r>
            <w:r>
              <w:rPr>
                <w:rStyle w:val="23"/>
                <w:color w:val="000000" w:themeColor="text1"/>
                <w:lang w:val="en-US" w:eastAsia="zh-CN" w:bidi="ar"/>
                <w14:textFill>
                  <w14:solidFill>
                    <w14:schemeClr w14:val="tx1"/>
                  </w14:solidFill>
                </w14:textFill>
              </w:rPr>
              <w:t xml:space="preserve">分，每缺少一项扣 </w:t>
            </w:r>
            <w:r>
              <w:rPr>
                <w:rStyle w:val="22"/>
                <w:rFonts w:hint="eastAsia"/>
                <w:color w:val="000000" w:themeColor="text1"/>
                <w:lang w:val="en-US" w:eastAsia="zh-CN" w:bidi="ar"/>
                <w14:textFill>
                  <w14:solidFill>
                    <w14:schemeClr w14:val="tx1"/>
                  </w14:solidFill>
                </w14:textFill>
              </w:rPr>
              <w:t>2</w:t>
            </w:r>
            <w:r>
              <w:rPr>
                <w:rStyle w:val="22"/>
                <w:rFonts w:eastAsia="宋体"/>
                <w:color w:val="000000" w:themeColor="text1"/>
                <w:lang w:val="en-US" w:eastAsia="zh-CN" w:bidi="ar"/>
                <w14:textFill>
                  <w14:solidFill>
                    <w14:schemeClr w14:val="tx1"/>
                  </w14:solidFill>
                </w14:textFill>
              </w:rPr>
              <w:t xml:space="preserve"> </w:t>
            </w:r>
            <w:r>
              <w:rPr>
                <w:rStyle w:val="23"/>
                <w:color w:val="000000" w:themeColor="text1"/>
                <w:lang w:val="en-US" w:eastAsia="zh-CN" w:bidi="ar"/>
                <w14:textFill>
                  <w14:solidFill>
                    <w14:schemeClr w14:val="tx1"/>
                  </w14:solidFill>
                </w14:textFill>
              </w:rPr>
              <w:t>分，扣完为止。 不重复计分。</w:t>
            </w:r>
          </w:p>
        </w:tc>
        <w:tc>
          <w:tcPr>
            <w:tcW w:w="678" w:type="pct"/>
            <w:vMerge w:val="continue"/>
            <w:tcBorders>
              <w:top w:val="nil"/>
              <w:left w:val="single" w:color="000000" w:sz="8"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FF"/>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94" w:type="pct"/>
            <w:vMerge w:val="restart"/>
            <w:tcBorders>
              <w:top w:val="single" w:color="auto"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质量保障措施</w:t>
            </w:r>
          </w:p>
        </w:tc>
        <w:tc>
          <w:tcPr>
            <w:tcW w:w="3627" w:type="pct"/>
            <w:tcBorders>
              <w:top w:val="single" w:color="auto" w:sz="4" w:space="0"/>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根据投标人提供的系统开发的相关质量保障措施进行评分；</w:t>
            </w:r>
          </w:p>
        </w:tc>
        <w:tc>
          <w:tcPr>
            <w:tcW w:w="678" w:type="pct"/>
            <w:vMerge w:val="restart"/>
            <w:tcBorders>
              <w:top w:val="single" w:color="auto"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694"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27"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(1) </w:t>
            </w:r>
            <w:r>
              <w:rPr>
                <w:rStyle w:val="23"/>
                <w:lang w:val="en-US" w:eastAsia="zh-CN" w:bidi="ar"/>
              </w:rPr>
              <w:t>保障措施计划详尽、合理、完善，得</w:t>
            </w:r>
            <w:r>
              <w:rPr>
                <w:rStyle w:val="23"/>
                <w:rFonts w:hint="eastAsia"/>
                <w:lang w:val="en-US" w:eastAsia="zh-CN" w:bidi="ar"/>
              </w:rPr>
              <w:t>12</w:t>
            </w:r>
            <w:r>
              <w:rPr>
                <w:rStyle w:val="23"/>
                <w:lang w:val="en-US" w:eastAsia="zh-CN" w:bidi="ar"/>
              </w:rPr>
              <w:t>分；</w:t>
            </w:r>
          </w:p>
        </w:tc>
        <w:tc>
          <w:tcPr>
            <w:tcW w:w="678" w:type="pct"/>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4"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27"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(2) </w:t>
            </w:r>
            <w:r>
              <w:rPr>
                <w:rStyle w:val="23"/>
                <w:lang w:val="en-US" w:eastAsia="zh-CN" w:bidi="ar"/>
              </w:rPr>
              <w:t xml:space="preserve">保障措施计划较好、基本满足要求，得 </w:t>
            </w:r>
            <w:r>
              <w:rPr>
                <w:rStyle w:val="23"/>
                <w:rFonts w:hint="eastAsia"/>
                <w:lang w:val="en-US" w:eastAsia="zh-CN" w:bidi="ar"/>
              </w:rPr>
              <w:t>8</w:t>
            </w:r>
            <w:r>
              <w:rPr>
                <w:rStyle w:val="23"/>
                <w:lang w:val="en-US" w:eastAsia="zh-CN" w:bidi="ar"/>
              </w:rPr>
              <w:t>分；</w:t>
            </w:r>
          </w:p>
        </w:tc>
        <w:tc>
          <w:tcPr>
            <w:tcW w:w="678" w:type="pct"/>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4"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27"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(3) </w:t>
            </w:r>
            <w:r>
              <w:rPr>
                <w:rStyle w:val="23"/>
                <w:lang w:val="en-US" w:eastAsia="zh-CN" w:bidi="ar"/>
              </w:rPr>
              <w:t xml:space="preserve">保障措施计划不完善、不明确，得 </w:t>
            </w:r>
            <w:r>
              <w:rPr>
                <w:rStyle w:val="23"/>
                <w:rFonts w:hint="eastAsia"/>
                <w:lang w:val="en-US" w:eastAsia="zh-CN" w:bidi="ar"/>
              </w:rPr>
              <w:t>3</w:t>
            </w:r>
            <w:r>
              <w:rPr>
                <w:rStyle w:val="23"/>
                <w:lang w:val="en-US" w:eastAsia="zh-CN" w:bidi="ar"/>
              </w:rPr>
              <w:t>分。</w:t>
            </w:r>
          </w:p>
        </w:tc>
        <w:tc>
          <w:tcPr>
            <w:tcW w:w="678" w:type="pct"/>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4"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2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(4) </w:t>
            </w:r>
            <w:r>
              <w:rPr>
                <w:rStyle w:val="23"/>
                <w:lang w:val="en-US" w:eastAsia="zh-CN" w:bidi="ar"/>
              </w:rPr>
              <w:t xml:space="preserve">没有提供，得 </w:t>
            </w:r>
            <w:r>
              <w:rPr>
                <w:rStyle w:val="22"/>
                <w:rFonts w:eastAsia="宋体"/>
                <w:lang w:val="en-US" w:eastAsia="zh-CN" w:bidi="ar"/>
              </w:rPr>
              <w:t xml:space="preserve">0 </w:t>
            </w:r>
            <w:r>
              <w:rPr>
                <w:rStyle w:val="23"/>
                <w:lang w:val="en-US" w:eastAsia="zh-CN" w:bidi="ar"/>
              </w:rPr>
              <w:t>分。</w:t>
            </w:r>
          </w:p>
        </w:tc>
        <w:tc>
          <w:tcPr>
            <w:tcW w:w="678" w:type="pct"/>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94" w:type="pct"/>
            <w:vMerge w:val="restart"/>
            <w:tcBorders>
              <w:top w:val="nil"/>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培训计划</w:t>
            </w:r>
          </w:p>
        </w:tc>
        <w:tc>
          <w:tcPr>
            <w:tcW w:w="3627"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根据投标人培训计划的科学性、合理性和可操作性，包括对采购人的管理人员、操作人员及维护人员进行培训等承诺情况等内容。</w:t>
            </w:r>
          </w:p>
        </w:tc>
        <w:tc>
          <w:tcPr>
            <w:tcW w:w="678" w:type="pct"/>
            <w:vMerge w:val="restart"/>
            <w:tcBorders>
              <w:top w:val="nil"/>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4"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27"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(1) </w:t>
            </w:r>
            <w:r>
              <w:rPr>
                <w:rStyle w:val="23"/>
                <w:lang w:val="en-US" w:eastAsia="zh-CN" w:bidi="ar"/>
              </w:rPr>
              <w:t>项目培训计划好、可操作性强，得</w:t>
            </w:r>
            <w:r>
              <w:rPr>
                <w:rStyle w:val="23"/>
                <w:rFonts w:hint="eastAsia"/>
                <w:lang w:val="en-US" w:eastAsia="zh-CN" w:bidi="ar"/>
              </w:rPr>
              <w:t>12</w:t>
            </w:r>
            <w:r>
              <w:rPr>
                <w:rStyle w:val="23"/>
                <w:lang w:val="en-US" w:eastAsia="zh-CN" w:bidi="ar"/>
              </w:rPr>
              <w:t>分；</w:t>
            </w:r>
          </w:p>
        </w:tc>
        <w:tc>
          <w:tcPr>
            <w:tcW w:w="678" w:type="pct"/>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4"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27"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(2) </w:t>
            </w:r>
            <w:r>
              <w:rPr>
                <w:rStyle w:val="23"/>
                <w:lang w:val="en-US" w:eastAsia="zh-CN" w:bidi="ar"/>
              </w:rPr>
              <w:t>项目培训计划较好、实际操作性一般，得</w:t>
            </w:r>
            <w:r>
              <w:rPr>
                <w:rStyle w:val="23"/>
                <w:rFonts w:hint="eastAsia"/>
                <w:lang w:val="en-US" w:eastAsia="zh-CN" w:bidi="ar"/>
              </w:rPr>
              <w:t>8</w:t>
            </w:r>
            <w:r>
              <w:rPr>
                <w:rStyle w:val="23"/>
                <w:lang w:val="en-US" w:eastAsia="zh-CN" w:bidi="ar"/>
              </w:rPr>
              <w:t>分；</w:t>
            </w:r>
          </w:p>
        </w:tc>
        <w:tc>
          <w:tcPr>
            <w:tcW w:w="678" w:type="pct"/>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4"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27"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(3) </w:t>
            </w:r>
            <w:r>
              <w:rPr>
                <w:rStyle w:val="23"/>
                <w:lang w:val="en-US" w:eastAsia="zh-CN" w:bidi="ar"/>
              </w:rPr>
              <w:t xml:space="preserve">项目培训计划不完善、实际操作性弱，得 </w:t>
            </w:r>
            <w:r>
              <w:rPr>
                <w:rStyle w:val="23"/>
                <w:rFonts w:hint="eastAsia"/>
                <w:lang w:val="en-US" w:eastAsia="zh-CN" w:bidi="ar"/>
              </w:rPr>
              <w:t>3</w:t>
            </w:r>
            <w:r>
              <w:rPr>
                <w:rStyle w:val="23"/>
                <w:lang w:val="en-US" w:eastAsia="zh-CN" w:bidi="ar"/>
              </w:rPr>
              <w:t>分。</w:t>
            </w:r>
          </w:p>
        </w:tc>
        <w:tc>
          <w:tcPr>
            <w:tcW w:w="678" w:type="pct"/>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694"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2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(4) </w:t>
            </w:r>
            <w:r>
              <w:rPr>
                <w:rStyle w:val="23"/>
                <w:lang w:val="en-US" w:eastAsia="zh-CN" w:bidi="ar"/>
              </w:rPr>
              <w:t xml:space="preserve">没有提供，得 </w:t>
            </w:r>
            <w:r>
              <w:rPr>
                <w:rStyle w:val="22"/>
                <w:rFonts w:eastAsia="宋体"/>
                <w:lang w:val="en-US" w:eastAsia="zh-CN" w:bidi="ar"/>
              </w:rPr>
              <w:t xml:space="preserve">0 </w:t>
            </w:r>
            <w:r>
              <w:rPr>
                <w:rStyle w:val="23"/>
                <w:lang w:val="en-US" w:eastAsia="zh-CN" w:bidi="ar"/>
              </w:rPr>
              <w:t>分。</w:t>
            </w:r>
          </w:p>
        </w:tc>
        <w:tc>
          <w:tcPr>
            <w:tcW w:w="678" w:type="pct"/>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694" w:type="pct"/>
            <w:vMerge w:val="restart"/>
            <w:tcBorders>
              <w:top w:val="nil"/>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售后服务</w:t>
            </w:r>
          </w:p>
        </w:tc>
        <w:tc>
          <w:tcPr>
            <w:tcW w:w="3627" w:type="pct"/>
            <w:tcBorders>
              <w:top w:val="nil"/>
              <w:left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 xml:space="preserve"> </w:t>
            </w:r>
          </w:p>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根据投标人售后服务的科学性、合理性、规范性和可操作性进行评分，包括具体的售后服务内容、服务规范、故障响应时间、响应方式等内容。</w:t>
            </w:r>
          </w:p>
        </w:tc>
        <w:tc>
          <w:tcPr>
            <w:tcW w:w="678" w:type="pct"/>
            <w:vMerge w:val="restart"/>
            <w:tcBorders>
              <w:top w:val="nil"/>
              <w:left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40" w:hRule="atLeast"/>
        </w:trPr>
        <w:tc>
          <w:tcPr>
            <w:tcW w:w="694"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27" w:type="pct"/>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(1) </w:t>
            </w:r>
            <w:r>
              <w:rPr>
                <w:rStyle w:val="23"/>
                <w:lang w:val="en-US" w:eastAsia="zh-CN" w:bidi="ar"/>
              </w:rPr>
              <w:t>售后服务承诺好、服务方式及内容完整，得</w:t>
            </w:r>
            <w:r>
              <w:rPr>
                <w:rStyle w:val="23"/>
                <w:rFonts w:hint="eastAsia"/>
                <w:lang w:val="en-US" w:eastAsia="zh-CN" w:bidi="ar"/>
              </w:rPr>
              <w:t>15</w:t>
            </w:r>
            <w:r>
              <w:rPr>
                <w:rStyle w:val="23"/>
                <w:lang w:val="en-US" w:eastAsia="zh-CN" w:bidi="ar"/>
              </w:rPr>
              <w:t>分；</w:t>
            </w:r>
          </w:p>
        </w:tc>
        <w:tc>
          <w:tcPr>
            <w:tcW w:w="678" w:type="pct"/>
            <w:vMerge w:val="continue"/>
            <w:tcBorders>
              <w:left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94"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27" w:type="pct"/>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(2) </w:t>
            </w:r>
            <w:r>
              <w:rPr>
                <w:rStyle w:val="23"/>
                <w:lang w:val="en-US" w:eastAsia="zh-CN" w:bidi="ar"/>
              </w:rPr>
              <w:t xml:space="preserve">售后服务承诺较好、服务方式及内容一般，得 </w:t>
            </w:r>
            <w:r>
              <w:rPr>
                <w:rStyle w:val="23"/>
                <w:rFonts w:hint="eastAsia"/>
                <w:lang w:val="en-US" w:eastAsia="zh-CN" w:bidi="ar"/>
              </w:rPr>
              <w:t>12</w:t>
            </w:r>
            <w:r>
              <w:rPr>
                <w:rStyle w:val="23"/>
                <w:lang w:val="en-US" w:eastAsia="zh-CN" w:bidi="ar"/>
              </w:rPr>
              <w:t>分；</w:t>
            </w:r>
          </w:p>
        </w:tc>
        <w:tc>
          <w:tcPr>
            <w:tcW w:w="678" w:type="pct"/>
            <w:vMerge w:val="continue"/>
            <w:tcBorders>
              <w:left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94"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27" w:type="pct"/>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(3) </w:t>
            </w:r>
            <w:r>
              <w:rPr>
                <w:rStyle w:val="23"/>
                <w:lang w:val="en-US" w:eastAsia="zh-CN" w:bidi="ar"/>
              </w:rPr>
              <w:t xml:space="preserve">售后服务承诺不完整、服务方式及内容单一，得 </w:t>
            </w:r>
            <w:r>
              <w:rPr>
                <w:rStyle w:val="23"/>
                <w:rFonts w:hint="eastAsia"/>
                <w:lang w:val="en-US" w:eastAsia="zh-CN" w:bidi="ar"/>
              </w:rPr>
              <w:t>8</w:t>
            </w:r>
            <w:r>
              <w:rPr>
                <w:rStyle w:val="23"/>
                <w:lang w:val="en-US" w:eastAsia="zh-CN" w:bidi="ar"/>
              </w:rPr>
              <w:t>分。</w:t>
            </w:r>
          </w:p>
        </w:tc>
        <w:tc>
          <w:tcPr>
            <w:tcW w:w="678" w:type="pct"/>
            <w:vMerge w:val="continue"/>
            <w:tcBorders>
              <w:left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4"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27" w:type="pct"/>
            <w:tcBorders>
              <w:top w:val="nil"/>
              <w:left w:val="nil"/>
              <w:bottom w:val="single" w:color="000000" w:sz="4" w:space="0"/>
              <w:right w:val="nil"/>
            </w:tcBorders>
            <w:shd w:val="clear" w:color="auto" w:fill="auto"/>
            <w:noWrap/>
            <w:vAlign w:val="center"/>
          </w:tcPr>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(4) </w:t>
            </w:r>
            <w:r>
              <w:rPr>
                <w:rStyle w:val="23"/>
                <w:lang w:val="en-US" w:eastAsia="zh-CN" w:bidi="ar"/>
              </w:rPr>
              <w:t xml:space="preserve">没有提供，得 </w:t>
            </w:r>
            <w:r>
              <w:rPr>
                <w:rStyle w:val="22"/>
                <w:rFonts w:eastAsia="宋体"/>
                <w:lang w:val="en-US" w:eastAsia="zh-CN" w:bidi="ar"/>
              </w:rPr>
              <w:t xml:space="preserve">0 </w:t>
            </w:r>
            <w:r>
              <w:rPr>
                <w:rStyle w:val="23"/>
                <w:lang w:val="en-US" w:eastAsia="zh-CN" w:bidi="ar"/>
              </w:rPr>
              <w:t>分。</w:t>
            </w:r>
          </w:p>
        </w:tc>
        <w:tc>
          <w:tcPr>
            <w:tcW w:w="678" w:type="pct"/>
            <w:vMerge w:val="continue"/>
            <w:tcBorders>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F1BFB1"/>
    <w:multiLevelType w:val="singleLevel"/>
    <w:tmpl w:val="F0F1BFB1"/>
    <w:lvl w:ilvl="0" w:tentative="0">
      <w:start w:val="1"/>
      <w:numFmt w:val="decimal"/>
      <w:suff w:val="nothing"/>
      <w:lvlText w:val="%1"/>
      <w:lvlJc w:val="left"/>
      <w:pPr>
        <w:tabs>
          <w:tab w:val="left" w:pos="0"/>
        </w:tabs>
        <w:ind w:left="0" w:firstLine="0"/>
      </w:pPr>
      <w:rPr>
        <w:rFonts w:hint="default"/>
      </w:rPr>
    </w:lvl>
  </w:abstractNum>
  <w:abstractNum w:abstractNumId="1">
    <w:nsid w:val="F7520F67"/>
    <w:multiLevelType w:val="multilevel"/>
    <w:tmpl w:val="F7520F67"/>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abstractNum w:abstractNumId="2">
    <w:nsid w:val="76872C4C"/>
    <w:multiLevelType w:val="singleLevel"/>
    <w:tmpl w:val="76872C4C"/>
    <w:lvl w:ilvl="0" w:tentative="0">
      <w:start w:val="1"/>
      <w:numFmt w:val="decimal"/>
      <w:lvlText w:val="%1."/>
      <w:lvlJc w:val="left"/>
      <w:pPr>
        <w:ind w:left="425" w:hanging="425"/>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kMGFjNzExZmZmM2M4YjY0MGM1MjczMWExZGYzNTMifQ=="/>
  </w:docVars>
  <w:rsids>
    <w:rsidRoot w:val="1DD25D93"/>
    <w:rsid w:val="00663640"/>
    <w:rsid w:val="00975E9C"/>
    <w:rsid w:val="01FF3BC3"/>
    <w:rsid w:val="02A14C7A"/>
    <w:rsid w:val="06CE5CA7"/>
    <w:rsid w:val="0932487E"/>
    <w:rsid w:val="0C1C35C4"/>
    <w:rsid w:val="0D6214AA"/>
    <w:rsid w:val="106A58B6"/>
    <w:rsid w:val="18163111"/>
    <w:rsid w:val="188B6EB0"/>
    <w:rsid w:val="194C18CF"/>
    <w:rsid w:val="1ABD62F3"/>
    <w:rsid w:val="1DD25D93"/>
    <w:rsid w:val="217C6B87"/>
    <w:rsid w:val="218439FB"/>
    <w:rsid w:val="23C92965"/>
    <w:rsid w:val="29C015DB"/>
    <w:rsid w:val="2CBC5291"/>
    <w:rsid w:val="30FA54DE"/>
    <w:rsid w:val="36783969"/>
    <w:rsid w:val="38316CA8"/>
    <w:rsid w:val="3D4A346B"/>
    <w:rsid w:val="3E554590"/>
    <w:rsid w:val="41095215"/>
    <w:rsid w:val="4125649B"/>
    <w:rsid w:val="42C64707"/>
    <w:rsid w:val="42C91868"/>
    <w:rsid w:val="43C15693"/>
    <w:rsid w:val="43C45C81"/>
    <w:rsid w:val="44444E8A"/>
    <w:rsid w:val="47CF7161"/>
    <w:rsid w:val="493F0316"/>
    <w:rsid w:val="4A673806"/>
    <w:rsid w:val="4D7A37A4"/>
    <w:rsid w:val="4D907392"/>
    <w:rsid w:val="4E2B70BB"/>
    <w:rsid w:val="4E661EA1"/>
    <w:rsid w:val="53527E93"/>
    <w:rsid w:val="55AE4FFD"/>
    <w:rsid w:val="58196B96"/>
    <w:rsid w:val="584414A5"/>
    <w:rsid w:val="5C6E4D42"/>
    <w:rsid w:val="5D131446"/>
    <w:rsid w:val="5D867E6A"/>
    <w:rsid w:val="611E2EDC"/>
    <w:rsid w:val="61D45648"/>
    <w:rsid w:val="655610D3"/>
    <w:rsid w:val="6B571220"/>
    <w:rsid w:val="6C657EEA"/>
    <w:rsid w:val="6DBC462A"/>
    <w:rsid w:val="6DD662A4"/>
    <w:rsid w:val="6F4E6291"/>
    <w:rsid w:val="74312486"/>
    <w:rsid w:val="7A4F1436"/>
    <w:rsid w:val="7B9520AE"/>
    <w:rsid w:val="7D6C2781"/>
    <w:rsid w:val="7F563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0" w:firstLineChars="0"/>
      <w:jc w:val="both"/>
    </w:pPr>
    <w:rPr>
      <w:rFonts w:eastAsia="宋体" w:asciiTheme="minorAscii" w:hAnsiTheme="minorAscii" w:cstheme="minorBidi"/>
      <w:kern w:val="2"/>
      <w:sz w:val="21"/>
      <w:szCs w:val="21"/>
      <w:lang w:val="en-US" w:eastAsia="zh-CN" w:bidi="ar-SA"/>
    </w:rPr>
  </w:style>
  <w:style w:type="paragraph" w:styleId="2">
    <w:name w:val="heading 1"/>
    <w:basedOn w:val="1"/>
    <w:next w:val="1"/>
    <w:qFormat/>
    <w:uiPriority w:val="0"/>
    <w:pPr>
      <w:keepNext/>
      <w:keepLines/>
      <w:numPr>
        <w:ilvl w:val="0"/>
        <w:numId w:val="1"/>
      </w:numPr>
      <w:adjustRightInd w:val="0"/>
      <w:snapToGrid w:val="0"/>
      <w:spacing w:before="100" w:beforeLines="100"/>
      <w:jc w:val="left"/>
      <w:outlineLvl w:val="0"/>
    </w:pPr>
    <w:rPr>
      <w:rFonts w:ascii="宋体" w:hAnsi="宋体" w:eastAsia="宋体" w:cs="宋体"/>
      <w:b/>
      <w:kern w:val="44"/>
      <w:sz w:val="36"/>
      <w:szCs w:val="36"/>
    </w:rPr>
  </w:style>
  <w:style w:type="paragraph" w:styleId="3">
    <w:name w:val="heading 2"/>
    <w:basedOn w:val="1"/>
    <w:next w:val="1"/>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b/>
      <w:sz w:val="30"/>
    </w:rPr>
  </w:style>
  <w:style w:type="paragraph" w:styleId="4">
    <w:name w:val="heading 3"/>
    <w:basedOn w:val="1"/>
    <w:next w:val="1"/>
    <w:unhideWhenUsed/>
    <w:qFormat/>
    <w:uiPriority w:val="0"/>
    <w:pPr>
      <w:keepNext/>
      <w:keepLines/>
      <w:numPr>
        <w:ilvl w:val="2"/>
        <w:numId w:val="1"/>
      </w:numPr>
      <w:spacing w:before="260" w:beforeLines="0" w:beforeAutospacing="0" w:after="260" w:afterLines="0" w:afterAutospacing="0" w:line="413" w:lineRule="auto"/>
      <w:ind w:firstLine="400"/>
      <w:outlineLvl w:val="2"/>
    </w:pPr>
    <w:rPr>
      <w:b/>
      <w:sz w:val="32"/>
    </w:rPr>
  </w:style>
  <w:style w:type="paragraph" w:styleId="5">
    <w:name w:val="heading 4"/>
    <w:basedOn w:val="1"/>
    <w:next w:val="1"/>
    <w:unhideWhenUsed/>
    <w:qFormat/>
    <w:uiPriority w:val="0"/>
    <w:pPr>
      <w:keepNext/>
      <w:keepLines/>
      <w:numPr>
        <w:ilvl w:val="3"/>
        <w:numId w:val="1"/>
      </w:numPr>
      <w:spacing w:before="280" w:beforeLines="0" w:beforeAutospacing="0" w:after="290" w:afterLines="0" w:afterAutospacing="0" w:line="372" w:lineRule="auto"/>
      <w:ind w:firstLine="402"/>
      <w:outlineLvl w:val="3"/>
    </w:pPr>
    <w:rPr>
      <w:rFonts w:ascii="Arial" w:hAnsi="Arial" w:eastAsia="宋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firstLine="402"/>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11">
    <w:name w:val="annotation text"/>
    <w:basedOn w:val="1"/>
    <w:qFormat/>
    <w:uiPriority w:val="0"/>
    <w:pPr>
      <w:jc w:val="left"/>
    </w:pPr>
  </w:style>
  <w:style w:type="paragraph" w:styleId="12">
    <w:name w:val="Body Text"/>
    <w:basedOn w:val="1"/>
    <w:next w:val="1"/>
    <w:qFormat/>
    <w:uiPriority w:val="0"/>
    <w:pPr>
      <w:spacing w:after="120"/>
    </w:pPr>
  </w:style>
  <w:style w:type="paragraph" w:styleId="13">
    <w:name w:val="Body Text Indent"/>
    <w:basedOn w:val="1"/>
    <w:next w:val="14"/>
    <w:qFormat/>
    <w:uiPriority w:val="99"/>
    <w:pPr>
      <w:spacing w:line="540" w:lineRule="exact"/>
      <w:ind w:firstLine="480" w:firstLineChars="200"/>
    </w:pPr>
    <w:rPr>
      <w:sz w:val="24"/>
    </w:rPr>
  </w:style>
  <w:style w:type="paragraph" w:styleId="14">
    <w:name w:val="Body Text First Indent 2"/>
    <w:basedOn w:val="13"/>
    <w:next w:val="15"/>
    <w:qFormat/>
    <w:uiPriority w:val="0"/>
    <w:pPr>
      <w:spacing w:after="120" w:afterLines="0" w:line="240" w:lineRule="auto"/>
      <w:ind w:left="420" w:leftChars="200" w:firstLine="420"/>
    </w:pPr>
    <w:rPr>
      <w:sz w:val="21"/>
    </w:rPr>
  </w:style>
  <w:style w:type="paragraph" w:customStyle="1" w:styleId="15">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styleId="16">
    <w:name w:val="footer"/>
    <w:basedOn w:val="1"/>
    <w:unhideWhenUsed/>
    <w:qFormat/>
    <w:uiPriority w:val="99"/>
    <w:pPr>
      <w:tabs>
        <w:tab w:val="center" w:pos="4153"/>
        <w:tab w:val="right" w:pos="8306"/>
      </w:tabs>
      <w:snapToGrid w:val="0"/>
      <w:spacing w:line="240" w:lineRule="auto"/>
      <w:jc w:val="left"/>
    </w:pPr>
    <w:rPr>
      <w:sz w:val="18"/>
      <w:szCs w:val="18"/>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0">
    <w:name w:val="No Spacing"/>
    <w:basedOn w:val="1"/>
    <w:qFormat/>
    <w:uiPriority w:val="0"/>
    <w:pPr>
      <w:spacing w:line="240" w:lineRule="auto"/>
      <w:ind w:firstLine="0" w:firstLineChars="0"/>
      <w:jc w:val="center"/>
    </w:pPr>
    <w:rPr>
      <w:rFonts w:ascii="Times New Roman" w:hAnsi="Times New Roman" w:eastAsia="宋体" w:cs="Times New Roman"/>
      <w:szCs w:val="32"/>
    </w:rPr>
  </w:style>
  <w:style w:type="paragraph" w:customStyle="1" w:styleId="21">
    <w:name w:val="无间隔1"/>
    <w:qFormat/>
    <w:uiPriority w:val="0"/>
    <w:pPr>
      <w:widowControl w:val="0"/>
      <w:jc w:val="center"/>
    </w:pPr>
    <w:rPr>
      <w:rFonts w:ascii="Times New Roman" w:hAnsi="Times New Roman" w:eastAsia="宋体" w:cstheme="minorBidi"/>
      <w:kern w:val="2"/>
      <w:sz w:val="24"/>
      <w:szCs w:val="22"/>
      <w:lang w:val="en-US" w:eastAsia="zh-CN" w:bidi="ar-SA"/>
    </w:rPr>
  </w:style>
  <w:style w:type="character" w:customStyle="1" w:styleId="22">
    <w:name w:val="font21"/>
    <w:basedOn w:val="19"/>
    <w:qFormat/>
    <w:uiPriority w:val="0"/>
    <w:rPr>
      <w:rFonts w:hint="default" w:ascii="Calibri" w:hAnsi="Calibri" w:cs="Calibri"/>
      <w:color w:val="000000"/>
      <w:sz w:val="21"/>
      <w:szCs w:val="21"/>
      <w:u w:val="none"/>
    </w:rPr>
  </w:style>
  <w:style w:type="character" w:customStyle="1" w:styleId="23">
    <w:name w:val="font11"/>
    <w:basedOn w:val="19"/>
    <w:qFormat/>
    <w:uiPriority w:val="0"/>
    <w:rPr>
      <w:rFonts w:hint="eastAsia" w:ascii="宋体" w:hAnsi="宋体" w:eastAsia="宋体" w:cs="宋体"/>
      <w:color w:val="000000"/>
      <w:sz w:val="21"/>
      <w:szCs w:val="21"/>
      <w:u w:val="none"/>
    </w:rPr>
  </w:style>
  <w:style w:type="character" w:customStyle="1" w:styleId="24">
    <w:name w:val="font51"/>
    <w:basedOn w:val="1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953</Words>
  <Characters>1011</Characters>
  <Lines>0</Lines>
  <Paragraphs>0</Paragraphs>
  <TotalTime>1654</TotalTime>
  <ScaleCrop>false</ScaleCrop>
  <LinksUpToDate>false</LinksUpToDate>
  <CharactersWithSpaces>1011</CharactersWithSpaces>
  <Application>WPS Office_11.8.2.12316_F1E327BC-269C-435d-A152-05C5408002CA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2023-05-04T02:06:00Z</dcterms:created>
  <dc:creator>痒痒杨</dc:creator>
  <cp:lastModifiedBy>Kelsen</cp:lastModifiedBy>
  <dcterms:modified xsi:type="dcterms:W3CDTF">2025-08-06T02:18:12Z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2052-11.8.2.12316</vt:lpwstr>
  </property>
  <property fmtid="{D5CDD505-2E9C-101B-9397-08002B2CF9AE}" pid="3" name="ICV">
    <vt:lpwstr>EA810C0B1F604AB1A047C50B8EA8136F</vt:lpwstr>
  </property>
  <property fmtid="{D5CDD505-2E9C-101B-9397-08002B2CF9AE}" pid="4" name="KSOTemplateDocerSaveRecord">
    <vt:lpwstr>eyJoZGlkIjoiYTVkYmRiYjdjZGUzM2JiYjQ3M2ExZWYzNzEyZGNlMGEiLCJ1c2VySWQiOiIzNjU5NjM4NDEifQ==</vt:lpwstr>
  </property>
</Properties>
</file>