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pStyle w:val="4"/>
        <w:numPr>
          <w:ilvl w:val="0"/>
          <w:numId w:val="0"/>
        </w:numPr>
        <w:bidi w:val="0"/>
        <w:ind w:leftChars="0"/>
        <w:jc w:val="center"/>
        <w:rPr>
          <w:rFonts w:hint="default" w:eastAsia="宋体"/>
          <w:sz w:val="32"/>
          <w:szCs w:val="32"/>
          <w:lang w:val="en-US" w:eastAsia="zh-CN"/>
        </w:rPr>
      </w:pPr>
      <w:r>
        <w:rPr>
          <w:rFonts w:hint="eastAsia"/>
          <w:color w:val="auto"/>
          <w:sz w:val="32"/>
          <w:szCs w:val="32"/>
          <w:lang w:val="en-US" w:eastAsia="zh-CN"/>
        </w:rPr>
        <w:t>北京市垂杨柳医院儿童营养信息管理系统比选方</w:t>
      </w:r>
      <w:r>
        <w:rPr>
          <w:rFonts w:hint="eastAsia"/>
          <w:sz w:val="32"/>
          <w:szCs w:val="32"/>
          <w:lang w:val="en-US" w:eastAsia="zh-CN"/>
        </w:rPr>
        <w:t>案</w:t>
      </w:r>
    </w:p>
    <w:p>
      <w:pPr>
        <w:pStyle w:val="4"/>
        <w:bidi w:val="0"/>
        <w:ind w:left="0" w:leftChars="0" w:firstLine="0" w:firstLineChars="0"/>
      </w:pPr>
      <w:r>
        <w:rPr>
          <w:rFonts w:hint="eastAsia"/>
          <w:lang w:val="en-US" w:eastAsia="zh-CN"/>
        </w:rPr>
        <w:t>项目概述</w:t>
      </w:r>
    </w:p>
    <w:p>
      <w:pPr>
        <w:pStyle w:val="4"/>
        <w:numPr>
          <w:ilvl w:val="0"/>
          <w:numId w:val="0"/>
        </w:numPr>
        <w:bidi w:val="0"/>
        <w:ind w:leftChars="0" w:firstLine="420" w:firstLineChars="200"/>
        <w:rPr>
          <w:rFonts w:hint="eastAsia"/>
          <w:b w:val="0"/>
          <w:bCs/>
          <w:sz w:val="21"/>
          <w:szCs w:val="21"/>
          <w:shd w:val="clear" w:color="auto" w:fill="FFFFFF"/>
          <w:lang w:val="en-US" w:eastAsia="zh-CN"/>
        </w:rPr>
      </w:pPr>
      <w:r>
        <w:rPr>
          <w:rFonts w:hint="eastAsia"/>
          <w:b w:val="0"/>
          <w:bCs/>
          <w:sz w:val="21"/>
          <w:szCs w:val="21"/>
          <w:shd w:val="clear" w:color="auto" w:fill="FFFFFF"/>
          <w:lang w:val="en-US" w:eastAsia="zh-CN"/>
        </w:rPr>
        <w:t>儿童营养管理系统主要用于优化患者的营养管理和治疗方案，确保患儿能够获得必要的营养，同时避免副作用和并发症。此外营养管理系统能够详细记录患者的信息，进行营养评</w:t>
      </w:r>
      <w:bookmarkStart w:id="0" w:name="_GoBack"/>
      <w:bookmarkEnd w:id="0"/>
      <w:r>
        <w:rPr>
          <w:rFonts w:hint="eastAsia"/>
          <w:b w:val="0"/>
          <w:bCs/>
          <w:sz w:val="21"/>
          <w:szCs w:val="21"/>
          <w:shd w:val="clear" w:color="auto" w:fill="FFFFFF"/>
          <w:lang w:val="en-US" w:eastAsia="zh-CN"/>
        </w:rPr>
        <w:t>估，并生成个性化的营养方案，持续跟踪和监测患者的营养状况变化。</w:t>
      </w:r>
    </w:p>
    <w:p>
      <w:pPr>
        <w:pStyle w:val="4"/>
        <w:numPr>
          <w:ilvl w:val="0"/>
          <w:numId w:val="0"/>
        </w:numPr>
        <w:bidi w:val="0"/>
        <w:ind w:leftChars="0" w:firstLine="420" w:firstLineChars="200"/>
        <w:rPr>
          <w:rFonts w:hint="eastAsia"/>
          <w:b w:val="0"/>
          <w:bCs/>
          <w:sz w:val="21"/>
          <w:szCs w:val="21"/>
          <w:shd w:val="clear" w:color="auto" w:fill="FFFFFF"/>
          <w:lang w:val="en-US" w:eastAsia="zh-CN"/>
        </w:rPr>
      </w:pPr>
      <w:r>
        <w:rPr>
          <w:rFonts w:hint="eastAsia"/>
          <w:b w:val="0"/>
          <w:bCs/>
          <w:sz w:val="21"/>
          <w:szCs w:val="21"/>
          <w:shd w:val="clear" w:color="auto" w:fill="FFFFFF"/>
          <w:lang w:val="en-US" w:eastAsia="zh-CN"/>
        </w:rPr>
        <w:t>儿童营养管理系统可以帮助培养未来的营养师和医护人员，通过实际操作和案例分析，使学生能够更好地理解和掌握儿童营养管理的知识和技能。该软件通过科学数据分析，精准优化儿童饮食结构，不仅促进了儿童健康成长，还显著提升了健康服务与管理专业的教学质量。</w:t>
      </w:r>
    </w:p>
    <w:p>
      <w:pPr>
        <w:pStyle w:val="4"/>
        <w:numPr>
          <w:ilvl w:val="0"/>
          <w:numId w:val="0"/>
        </w:numPr>
        <w:bidi w:val="0"/>
        <w:ind w:leftChars="0" w:firstLine="420" w:firstLineChars="200"/>
        <w:rPr>
          <w:rFonts w:hint="eastAsia"/>
          <w:b w:val="0"/>
          <w:bCs/>
          <w:sz w:val="21"/>
          <w:szCs w:val="21"/>
          <w:shd w:val="clear" w:color="auto" w:fill="FFFFFF"/>
          <w:lang w:val="en-US" w:eastAsia="zh-CN"/>
        </w:rPr>
      </w:pPr>
      <w:r>
        <w:rPr>
          <w:rFonts w:hint="eastAsia"/>
          <w:b w:val="0"/>
          <w:bCs/>
          <w:sz w:val="21"/>
          <w:szCs w:val="21"/>
          <w:shd w:val="clear" w:color="auto" w:fill="FFFFFF"/>
          <w:lang w:val="en-US" w:eastAsia="zh-CN"/>
        </w:rPr>
        <w:t>儿童营养管理系统能够提供大量的数据分析和挖掘，为临床研究和医疗决策提供支持。可以对不同疾病患者的营养状况进行分析，发现潜在的规律和趋势，为进一步优化治疗方案提供依据。这些研究成果可以为临床营养管理提供理论支持和实践指导</w:t>
      </w:r>
    </w:p>
    <w:p>
      <w:pPr>
        <w:rPr>
          <w:rFonts w:hint="default"/>
          <w:lang w:val="en-US" w:eastAsia="zh-CN"/>
        </w:rPr>
      </w:pPr>
      <w:r>
        <w:rPr>
          <w:rFonts w:hint="eastAsia" w:ascii="宋体" w:hAnsi="宋体" w:eastAsia="宋体" w:cs="宋体"/>
          <w:b/>
          <w:kern w:val="44"/>
          <w:sz w:val="36"/>
          <w:szCs w:val="36"/>
          <w:lang w:val="en-US" w:eastAsia="zh-CN" w:bidi="ar-SA"/>
        </w:rPr>
        <w:t>二、项目内容</w:t>
      </w:r>
    </w:p>
    <w:tbl>
      <w:tblPr>
        <w:tblStyle w:val="18"/>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4"/>
        <w:gridCol w:w="1173"/>
        <w:gridCol w:w="4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720" w:type="dxa"/>
            <w:vAlign w:val="center"/>
          </w:tcPr>
          <w:p>
            <w:pPr>
              <w:bidi w:val="0"/>
            </w:pPr>
            <w:r>
              <w:rPr>
                <w:rFonts w:hint="eastAsia"/>
              </w:rPr>
              <w:t>序号</w:t>
            </w:r>
          </w:p>
        </w:tc>
        <w:tc>
          <w:tcPr>
            <w:tcW w:w="2524" w:type="dxa"/>
            <w:vAlign w:val="center"/>
          </w:tcPr>
          <w:p>
            <w:pPr>
              <w:bidi w:val="0"/>
              <w:jc w:val="center"/>
            </w:pPr>
            <w:r>
              <w:rPr>
                <w:rFonts w:hint="eastAsia"/>
              </w:rPr>
              <w:t>名称</w:t>
            </w:r>
          </w:p>
        </w:tc>
        <w:tc>
          <w:tcPr>
            <w:tcW w:w="1173" w:type="dxa"/>
            <w:vAlign w:val="center"/>
          </w:tcPr>
          <w:p>
            <w:pPr>
              <w:bidi w:val="0"/>
              <w:jc w:val="center"/>
            </w:pPr>
            <w:r>
              <w:rPr>
                <w:rFonts w:hint="eastAsia"/>
              </w:rPr>
              <w:t>数量</w:t>
            </w:r>
          </w:p>
        </w:tc>
        <w:tc>
          <w:tcPr>
            <w:tcW w:w="4225" w:type="dxa"/>
            <w:vAlign w:val="center"/>
          </w:tcPr>
          <w:p>
            <w:pPr>
              <w:bidi w:val="0"/>
              <w:rPr>
                <w:rFonts w:hint="default" w:eastAsia="宋体"/>
                <w:lang w:val="en-US" w:eastAsia="zh-CN"/>
              </w:rPr>
            </w:pPr>
            <w:r>
              <w:rPr>
                <w:rFonts w:hint="eastAsia"/>
              </w:rPr>
              <w:t>交货期</w:t>
            </w:r>
            <w:r>
              <w:rPr>
                <w:rFonts w:hint="eastAsia"/>
                <w:lang w:val="en-US" w:eastAsia="zh-CN"/>
              </w:rPr>
              <w:t>/建设期/维保期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720" w:type="dxa"/>
            <w:vAlign w:val="center"/>
          </w:tcPr>
          <w:p>
            <w:pPr>
              <w:numPr>
                <w:ilvl w:val="0"/>
                <w:numId w:val="2"/>
              </w:numPr>
              <w:bidi w:val="0"/>
              <w:ind w:left="0" w:leftChars="0" w:firstLine="0" w:firstLineChars="0"/>
              <w:jc w:val="center"/>
            </w:pPr>
          </w:p>
        </w:tc>
        <w:tc>
          <w:tcPr>
            <w:tcW w:w="2524" w:type="dxa"/>
            <w:vAlign w:val="center"/>
          </w:tcPr>
          <w:p>
            <w:pPr>
              <w:bidi w:val="0"/>
              <w:jc w:val="center"/>
              <w:rPr>
                <w:rFonts w:hint="default"/>
                <w:lang w:val="en-US"/>
              </w:rPr>
            </w:pPr>
            <w:r>
              <w:rPr>
                <w:rFonts w:hint="eastAsia"/>
                <w:lang w:val="en-US" w:eastAsia="zh-CN"/>
              </w:rPr>
              <w:t>儿童营养信息管理系统</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center"/>
              <w:rPr>
                <w:rFonts w:hint="default" w:eastAsia="宋体"/>
                <w:lang w:val="en-US" w:eastAsia="zh-CN"/>
              </w:rPr>
            </w:pPr>
            <w:r>
              <w:rPr>
                <w:rFonts w:hint="eastAsia"/>
                <w:lang w:val="en-US" w:eastAsia="zh-CN"/>
              </w:rPr>
              <w:t>1</w:t>
            </w:r>
          </w:p>
        </w:tc>
        <w:tc>
          <w:tcPr>
            <w:tcW w:w="4225" w:type="dxa"/>
            <w:vAlign w:val="center"/>
          </w:tcPr>
          <w:p>
            <w:pPr>
              <w:bidi w:val="0"/>
              <w:jc w:val="center"/>
            </w:pPr>
            <w:r>
              <w:rPr>
                <w:rFonts w:hint="eastAsia"/>
              </w:rPr>
              <w:t>合同签定后</w:t>
            </w:r>
            <w:r>
              <w:rPr>
                <w:rFonts w:hint="eastAsia"/>
                <w:lang w:val="en-US" w:eastAsia="zh-CN"/>
              </w:rPr>
              <w:t>1</w:t>
            </w:r>
            <w:r>
              <w:rPr>
                <w:rFonts w:hint="eastAsia"/>
              </w:rPr>
              <w:t>个月内</w:t>
            </w:r>
          </w:p>
        </w:tc>
      </w:tr>
    </w:tbl>
    <w:p>
      <w:pPr>
        <w:pStyle w:val="4"/>
        <w:numPr>
          <w:ilvl w:val="0"/>
          <w:numId w:val="0"/>
        </w:numPr>
        <w:bidi w:val="0"/>
        <w:ind w:leftChars="0"/>
      </w:pPr>
      <w:r>
        <w:rPr>
          <w:rFonts w:hint="eastAsia"/>
          <w:lang w:val="en-US" w:eastAsia="zh-CN"/>
        </w:rPr>
        <w:t>三、</w:t>
      </w:r>
      <w:r>
        <w:rPr>
          <w:rFonts w:hint="eastAsia"/>
        </w:rPr>
        <w:t>技术要求</w:t>
      </w:r>
    </w:p>
    <w:p>
      <w:pPr>
        <w:ind w:firstLine="480"/>
        <w:jc w:val="center"/>
        <w:rPr>
          <w:rFonts w:hint="eastAsia"/>
          <w:b/>
          <w:bCs/>
          <w:sz w:val="32"/>
          <w:szCs w:val="32"/>
          <w:lang w:eastAsia="zh-CN"/>
        </w:rPr>
      </w:pPr>
      <w:r>
        <w:rPr>
          <w:rFonts w:hint="eastAsia"/>
          <w:b/>
          <w:bCs/>
          <w:sz w:val="32"/>
          <w:szCs w:val="32"/>
          <w:lang w:val="en-US" w:eastAsia="zh-CN"/>
        </w:rPr>
        <w:t>儿童营养信息管理系统主要技术参数</w:t>
      </w:r>
    </w:p>
    <w:p>
      <w:pPr>
        <w:ind w:firstLine="480"/>
        <w:rPr>
          <w:rFonts w:hint="eastAsia"/>
          <w:lang w:eastAsia="zh-CN"/>
        </w:rPr>
      </w:pPr>
    </w:p>
    <w:tbl>
      <w:tblPr>
        <w:tblStyle w:val="18"/>
        <w:tblW w:w="523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8"/>
        <w:gridCol w:w="891"/>
        <w:gridCol w:w="1645"/>
        <w:gridCol w:w="5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系统模块</w:t>
            </w:r>
          </w:p>
        </w:tc>
        <w:tc>
          <w:tcPr>
            <w:tcW w:w="4255"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功能要求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499" w:type="pct"/>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b/>
                <w:bCs/>
                <w:vertAlign w:val="baseline"/>
                <w:lang w:val="en-US" w:eastAsia="zh-CN"/>
              </w:rPr>
              <w:t>智能化信息采集工控系统模块</w:t>
            </w:r>
          </w:p>
        </w:tc>
        <w:tc>
          <w:tcPr>
            <w:tcW w:w="921"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both"/>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数据采集人群</w:t>
            </w:r>
          </w:p>
        </w:tc>
        <w:tc>
          <w:tcPr>
            <w:tcW w:w="3333" w:type="pct"/>
            <w:tcBorders>
              <w:top w:val="single" w:color="auto" w:sz="4" w:space="0"/>
              <w:left w:val="single" w:color="auto" w:sz="4" w:space="0"/>
              <w:bottom w:val="single" w:color="auto" w:sz="4" w:space="0"/>
              <w:right w:val="single" w:color="auto" w:sz="4" w:space="0"/>
            </w:tcBorders>
            <w:shd w:val="clear" w:color="auto" w:fill="auto"/>
            <w:vAlign w:val="top"/>
          </w:tcPr>
          <w:p>
            <w:pPr>
              <w:ind w:firstLine="0" w:firstLineChars="0"/>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0-18岁人群（包含婴幼儿、儿童、青少年）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99" w:type="pct"/>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1"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both"/>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预约功能</w:t>
            </w:r>
          </w:p>
        </w:tc>
        <w:tc>
          <w:tcPr>
            <w:tcW w:w="3333" w:type="pct"/>
            <w:tcBorders>
              <w:top w:val="single" w:color="auto" w:sz="4" w:space="0"/>
              <w:left w:val="single" w:color="auto" w:sz="4" w:space="0"/>
              <w:bottom w:val="single" w:color="auto" w:sz="4" w:space="0"/>
              <w:right w:val="single" w:color="auto" w:sz="4" w:space="0"/>
            </w:tcBorders>
            <w:shd w:val="clear" w:color="auto" w:fill="auto"/>
            <w:vAlign w:val="top"/>
          </w:tcPr>
          <w:p>
            <w:pPr>
              <w:ind w:firstLine="0" w:firstLineChars="0"/>
              <w:rPr>
                <w:rFonts w:hint="default" w:eastAsia="宋体" w:asciiTheme="minorAscii" w:hAnsiTheme="minorAscii" w:cstheme="minorBidi"/>
                <w:kern w:val="2"/>
                <w:sz w:val="21"/>
                <w:szCs w:val="21"/>
                <w:vertAlign w:val="baseline"/>
                <w:lang w:val="en-US" w:eastAsia="zh-CN" w:bidi="ar-SA"/>
              </w:rPr>
            </w:pPr>
            <w:r>
              <w:rPr>
                <w:rFonts w:hint="eastAsia"/>
                <w:highlight w:val="none"/>
                <w:vertAlign w:val="baseline"/>
                <w:lang w:val="en-US" w:eastAsia="zh-CN"/>
              </w:rPr>
              <w:t>可通过小程序预约建档，预约复查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99" w:type="pct"/>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1"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both"/>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检测项目数据采集</w:t>
            </w:r>
          </w:p>
        </w:tc>
        <w:tc>
          <w:tcPr>
            <w:tcW w:w="3333" w:type="pct"/>
            <w:tcBorders>
              <w:top w:val="single" w:color="auto" w:sz="4" w:space="0"/>
              <w:left w:val="single" w:color="auto" w:sz="4" w:space="0"/>
              <w:bottom w:val="single" w:color="auto" w:sz="4" w:space="0"/>
              <w:right w:val="single" w:color="auto" w:sz="4" w:space="0"/>
            </w:tcBorders>
            <w:shd w:val="clear" w:color="auto" w:fill="auto"/>
            <w:vAlign w:val="top"/>
          </w:tcPr>
          <w:p>
            <w:pPr>
              <w:ind w:firstLine="0" w:firstLineChars="0"/>
              <w:rPr>
                <w:rFonts w:hint="default" w:eastAsia="宋体" w:asciiTheme="minorAscii" w:hAnsiTheme="minorAscii" w:cstheme="minorBidi"/>
                <w:kern w:val="2"/>
                <w:sz w:val="21"/>
                <w:szCs w:val="21"/>
                <w:vertAlign w:val="baseline"/>
                <w:lang w:val="en-US" w:eastAsia="zh-CN" w:bidi="ar-SA"/>
              </w:rPr>
            </w:pPr>
            <w:r>
              <w:rPr>
                <w:rFonts w:hint="eastAsia"/>
                <w:vertAlign w:val="baseline"/>
                <w:lang w:val="en-US" w:eastAsia="zh-CN"/>
              </w:rPr>
              <w:t>体重、体水分、体脂、蛋白质、无机盐、体脂率、基础代谢、细胞内外水分、节段肌肉、内脏脂肪等级等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99" w:type="pct"/>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1"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both"/>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体格检查采集</w:t>
            </w:r>
          </w:p>
        </w:tc>
        <w:tc>
          <w:tcPr>
            <w:tcW w:w="3333" w:type="pct"/>
            <w:tcBorders>
              <w:top w:val="single" w:color="auto" w:sz="4" w:space="0"/>
              <w:left w:val="single" w:color="auto" w:sz="4" w:space="0"/>
              <w:bottom w:val="single" w:color="auto" w:sz="4" w:space="0"/>
              <w:right w:val="single" w:color="auto" w:sz="4" w:space="0"/>
            </w:tcBorders>
            <w:shd w:val="clear" w:color="auto" w:fill="auto"/>
            <w:vAlign w:val="top"/>
          </w:tcPr>
          <w:p>
            <w:pPr>
              <w:ind w:firstLine="0" w:firstLineChars="0"/>
              <w:rPr>
                <w:rFonts w:hint="default" w:eastAsia="宋体" w:asciiTheme="minorAscii" w:hAnsiTheme="minorAscii" w:cstheme="minorBidi"/>
                <w:kern w:val="2"/>
                <w:sz w:val="21"/>
                <w:szCs w:val="21"/>
                <w:vertAlign w:val="baseline"/>
                <w:lang w:val="en-US" w:eastAsia="zh-CN" w:bidi="ar-SA"/>
              </w:rPr>
            </w:pPr>
            <w:r>
              <w:rPr>
                <w:rFonts w:hint="eastAsia"/>
                <w:vertAlign w:val="baseline"/>
                <w:lang w:val="en-US" w:eastAsia="zh-CN"/>
              </w:rPr>
              <w:t>身高、体重、BMI、头围、上臂围、皮褶厚度、活动水平等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99" w:type="pct"/>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1"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both"/>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医院实验室系统对接</w:t>
            </w:r>
          </w:p>
        </w:tc>
        <w:tc>
          <w:tcPr>
            <w:tcW w:w="3333" w:type="pct"/>
            <w:tcBorders>
              <w:top w:val="single" w:color="auto" w:sz="4" w:space="0"/>
              <w:left w:val="single" w:color="auto" w:sz="4" w:space="0"/>
              <w:bottom w:val="single" w:color="auto" w:sz="4" w:space="0"/>
              <w:right w:val="single" w:color="auto" w:sz="4" w:space="0"/>
            </w:tcBorders>
            <w:shd w:val="clear" w:color="auto" w:fill="auto"/>
            <w:vAlign w:val="top"/>
          </w:tcPr>
          <w:p>
            <w:pPr>
              <w:ind w:firstLine="0" w:firstLineChars="0"/>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支持与医院实验室系统对接，相关检测数据自动传输采集过来。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99" w:type="pct"/>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1"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both"/>
              <w:rPr>
                <w:rFonts w:hint="eastAsia" w:eastAsia="宋体" w:asciiTheme="minorAscii" w:hAnsiTheme="minorAscii" w:cstheme="minorBidi"/>
                <w:kern w:val="2"/>
                <w:sz w:val="21"/>
                <w:szCs w:val="21"/>
                <w:highlight w:val="none"/>
                <w:vertAlign w:val="baseline"/>
                <w:lang w:val="en-US" w:eastAsia="zh-CN" w:bidi="ar-SA"/>
              </w:rPr>
            </w:pPr>
            <w:r>
              <w:rPr>
                <w:rFonts w:hint="eastAsia"/>
                <w:highlight w:val="none"/>
                <w:vertAlign w:val="baseline"/>
                <w:lang w:val="en-US" w:eastAsia="zh-CN"/>
              </w:rPr>
              <w:t>体征评价</w:t>
            </w:r>
          </w:p>
        </w:tc>
        <w:tc>
          <w:tcPr>
            <w:tcW w:w="3333" w:type="pct"/>
            <w:tcBorders>
              <w:top w:val="single" w:color="auto" w:sz="4" w:space="0"/>
              <w:left w:val="single" w:color="auto" w:sz="4" w:space="0"/>
              <w:bottom w:val="single" w:color="auto" w:sz="4" w:space="0"/>
              <w:right w:val="single" w:color="auto" w:sz="4" w:space="0"/>
            </w:tcBorders>
            <w:shd w:val="clear" w:color="auto" w:fill="auto"/>
            <w:vAlign w:val="top"/>
          </w:tcPr>
          <w:p>
            <w:pPr>
              <w:ind w:firstLine="0" w:firstLineChars="0"/>
              <w:rPr>
                <w:rFonts w:hint="default" w:eastAsia="宋体" w:asciiTheme="minorAscii" w:hAnsiTheme="minorAscii" w:cstheme="minorBidi"/>
                <w:kern w:val="2"/>
                <w:sz w:val="21"/>
                <w:szCs w:val="21"/>
                <w:highlight w:val="none"/>
                <w:vertAlign w:val="baseline"/>
                <w:lang w:val="en-US" w:eastAsia="zh-CN" w:bidi="ar-SA"/>
              </w:rPr>
            </w:pPr>
            <w:r>
              <w:rPr>
                <w:rFonts w:hint="eastAsia"/>
                <w:highlight w:val="none"/>
                <w:vertAlign w:val="baseline"/>
                <w:lang w:val="en-US" w:eastAsia="zh-CN"/>
              </w:rPr>
              <w:t>判断可能营养素缺乏状况，可与LIS对接可直接确认营养素缺乏。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99" w:type="pct"/>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1"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both"/>
              <w:rPr>
                <w:rFonts w:hint="eastAsia" w:eastAsia="宋体" w:asciiTheme="minorAscii" w:hAnsiTheme="minorAscii" w:cstheme="minorBidi"/>
                <w:kern w:val="2"/>
                <w:sz w:val="21"/>
                <w:szCs w:val="21"/>
                <w:highlight w:val="none"/>
                <w:vertAlign w:val="baseline"/>
                <w:lang w:val="en-US" w:eastAsia="zh-CN" w:bidi="ar-SA"/>
              </w:rPr>
            </w:pPr>
            <w:r>
              <w:rPr>
                <w:rFonts w:hint="eastAsia"/>
                <w:highlight w:val="none"/>
                <w:vertAlign w:val="baseline"/>
                <w:lang w:val="en-US" w:eastAsia="zh-CN"/>
              </w:rPr>
              <w:t>营养风险筛查</w:t>
            </w:r>
          </w:p>
        </w:tc>
        <w:tc>
          <w:tcPr>
            <w:tcW w:w="3333" w:type="pct"/>
            <w:tcBorders>
              <w:top w:val="single" w:color="auto" w:sz="4" w:space="0"/>
              <w:left w:val="single" w:color="auto" w:sz="4" w:space="0"/>
              <w:bottom w:val="single" w:color="auto" w:sz="4" w:space="0"/>
              <w:right w:val="single" w:color="auto" w:sz="4" w:space="0"/>
            </w:tcBorders>
            <w:shd w:val="clear" w:color="auto" w:fill="auto"/>
            <w:vAlign w:val="top"/>
          </w:tcPr>
          <w:p>
            <w:pPr>
              <w:ind w:firstLine="0" w:firstLineChars="0"/>
              <w:jc w:val="both"/>
              <w:rPr>
                <w:rFonts w:hint="default" w:eastAsia="宋体" w:asciiTheme="minorAscii" w:hAnsiTheme="minorAscii" w:cstheme="minorBidi"/>
                <w:kern w:val="2"/>
                <w:sz w:val="21"/>
                <w:szCs w:val="21"/>
                <w:highlight w:val="none"/>
                <w:vertAlign w:val="baseline"/>
                <w:lang w:val="en-US" w:eastAsia="zh-CN" w:bidi="ar-SA"/>
              </w:rPr>
            </w:pPr>
            <w:r>
              <w:rPr>
                <w:rFonts w:hint="eastAsia"/>
                <w:highlight w:val="none"/>
                <w:vertAlign w:val="baseline"/>
                <w:lang w:val="en-US" w:eastAsia="zh-CN"/>
              </w:rPr>
              <w:t>可选用两种常用营养风险筛查表，判断儿童是否存在营养风险。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99" w:type="pct"/>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1"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both"/>
              <w:rPr>
                <w:rFonts w:hint="eastAsia" w:eastAsia="宋体" w:asciiTheme="minorAscii" w:hAnsiTheme="minorAscii" w:cstheme="minorBidi"/>
                <w:kern w:val="2"/>
                <w:sz w:val="21"/>
                <w:szCs w:val="21"/>
                <w:highlight w:val="none"/>
                <w:vertAlign w:val="baseline"/>
                <w:lang w:val="en-US" w:eastAsia="zh-CN" w:bidi="ar-SA"/>
              </w:rPr>
            </w:pPr>
            <w:r>
              <w:rPr>
                <w:rFonts w:hint="eastAsia"/>
                <w:highlight w:val="none"/>
                <w:vertAlign w:val="baseline"/>
                <w:lang w:val="en-US" w:eastAsia="zh-CN"/>
              </w:rPr>
              <w:t>膳食调查</w:t>
            </w:r>
          </w:p>
        </w:tc>
        <w:tc>
          <w:tcPr>
            <w:tcW w:w="3333" w:type="pct"/>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eastAsia="宋体" w:asciiTheme="minorAscii" w:hAnsiTheme="minorAscii" w:cstheme="minorBidi"/>
                <w:kern w:val="2"/>
                <w:sz w:val="21"/>
                <w:szCs w:val="21"/>
                <w:lang w:val="en-US" w:eastAsia="zh-CN" w:bidi="ar-SA"/>
              </w:rPr>
            </w:pPr>
            <w:r>
              <w:rPr>
                <w:rFonts w:hint="eastAsia"/>
                <w:lang w:val="en-US" w:eastAsia="zh-CN"/>
              </w:rPr>
              <w:t>支持饮食快速调查、相对量调查、24小时膳食回顾法调查、婴幼儿膳食调查表。</w:t>
            </w:r>
            <w:r>
              <w:rPr>
                <w:rFonts w:hint="eastAsia" w:ascii="Calibri" w:hAnsi="Calibri" w:eastAsia="宋体" w:cs="宋体"/>
                <w:color w:val="auto"/>
                <w:kern w:val="2"/>
                <w:sz w:val="21"/>
                <w:szCs w:val="24"/>
                <w:lang w:val="en-US" w:eastAsia="zh-CN" w:bidi="ar-SA"/>
              </w:rPr>
              <w:t>回顾法膳调采用“网格式数字化食物图谱”</w:t>
            </w:r>
            <w:r>
              <w:rPr>
                <w:rFonts w:hint="eastAsia" w:ascii="Calibri" w:hAnsi="Calibri" w:eastAsia="宋体" w:cs="Times New Roman"/>
                <w:color w:val="auto"/>
                <w:kern w:val="2"/>
                <w:sz w:val="21"/>
                <w:szCs w:val="24"/>
                <w:lang w:val="en-US" w:eastAsia="zh-CN" w:bidi="ar-SA"/>
              </w:rPr>
              <w:t>。</w:t>
            </w:r>
            <w:r>
              <w:rPr>
                <w:rFonts w:hint="eastAsia" w:ascii="Calibri" w:hAnsi="Calibri" w:eastAsia="宋体" w:cs="Times New Roman"/>
                <w:b/>
                <w:bCs/>
                <w:color w:val="auto"/>
                <w:kern w:val="2"/>
                <w:sz w:val="21"/>
                <w:szCs w:val="24"/>
                <w:lang w:val="en-US" w:eastAsia="zh-CN" w:bidi="ar-SA"/>
              </w:rPr>
              <w:t>（并提供证明文件）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99" w:type="pct"/>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1"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both"/>
              <w:rPr>
                <w:rFonts w:hint="default" w:eastAsia="宋体" w:asciiTheme="minorAscii" w:hAnsiTheme="minorAscii" w:cstheme="minorBidi"/>
                <w:kern w:val="2"/>
                <w:sz w:val="21"/>
                <w:szCs w:val="21"/>
                <w:highlight w:val="none"/>
                <w:vertAlign w:val="baseline"/>
                <w:lang w:val="en-US" w:eastAsia="zh-CN" w:bidi="ar-SA"/>
              </w:rPr>
            </w:pPr>
            <w:r>
              <w:rPr>
                <w:rFonts w:hint="eastAsia"/>
                <w:highlight w:val="none"/>
                <w:vertAlign w:val="baseline"/>
                <w:lang w:val="en-US" w:eastAsia="zh-CN"/>
              </w:rPr>
              <w:t>儿童饮食行为调查</w:t>
            </w:r>
          </w:p>
        </w:tc>
        <w:tc>
          <w:tcPr>
            <w:tcW w:w="3333" w:type="pct"/>
            <w:tcBorders>
              <w:top w:val="single" w:color="auto" w:sz="4" w:space="0"/>
              <w:left w:val="single" w:color="auto" w:sz="4" w:space="0"/>
              <w:bottom w:val="single" w:color="auto" w:sz="4" w:space="0"/>
              <w:right w:val="single" w:color="auto" w:sz="4" w:space="0"/>
            </w:tcBorders>
            <w:shd w:val="clear" w:color="auto" w:fill="auto"/>
            <w:vAlign w:val="top"/>
          </w:tcPr>
          <w:p>
            <w:pPr>
              <w:ind w:firstLine="0" w:firstLineChars="0"/>
              <w:rPr>
                <w:rFonts w:hint="default" w:eastAsia="宋体" w:asciiTheme="minorAscii" w:hAnsiTheme="minorAscii" w:cstheme="minorBidi"/>
                <w:kern w:val="2"/>
                <w:sz w:val="21"/>
                <w:szCs w:val="21"/>
                <w:highlight w:val="none"/>
                <w:vertAlign w:val="baseline"/>
                <w:lang w:val="en-US" w:eastAsia="zh-CN" w:bidi="ar-SA"/>
              </w:rPr>
            </w:pPr>
            <w:r>
              <w:rPr>
                <w:rFonts w:hint="eastAsia"/>
                <w:highlight w:val="none"/>
                <w:vertAlign w:val="baseline"/>
                <w:lang w:val="en-US" w:eastAsia="zh-CN"/>
              </w:rPr>
              <w:t>调查儿童存在的饮食行为问题，给出干预方案。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99" w:type="pct"/>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1" w:type="pc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both"/>
              <w:rPr>
                <w:rFonts w:hint="eastAsia" w:eastAsia="宋体" w:asciiTheme="minorAscii" w:hAnsiTheme="minorAscii" w:cstheme="minorBidi"/>
                <w:kern w:val="2"/>
                <w:sz w:val="21"/>
                <w:szCs w:val="21"/>
                <w:highlight w:val="none"/>
                <w:vertAlign w:val="baseline"/>
                <w:lang w:val="en-US" w:eastAsia="zh-CN" w:bidi="ar-SA"/>
              </w:rPr>
            </w:pPr>
            <w:r>
              <w:rPr>
                <w:rFonts w:hint="eastAsia"/>
                <w:highlight w:val="none"/>
                <w:vertAlign w:val="baseline"/>
                <w:lang w:val="en-US" w:eastAsia="zh-CN"/>
              </w:rPr>
              <w:t>运动调查</w:t>
            </w:r>
          </w:p>
        </w:tc>
        <w:tc>
          <w:tcPr>
            <w:tcW w:w="3333" w:type="pct"/>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Calibri" w:hAnsi="Calibri"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1.活动量水平：可选轻、中、重活动水平</w:t>
            </w:r>
          </w:p>
          <w:p>
            <w:pPr>
              <w:rPr>
                <w:rFonts w:hint="eastAsia" w:ascii="Calibri" w:hAnsi="Calibri"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2.</w:t>
            </w:r>
            <w:r>
              <w:rPr>
                <w:rFonts w:hint="eastAsia" w:ascii="Calibri" w:hAnsi="Calibri" w:eastAsia="宋体" w:cs="Times New Roman"/>
                <w:color w:val="auto"/>
                <w:kern w:val="2"/>
                <w:sz w:val="21"/>
                <w:szCs w:val="24"/>
                <w:highlight w:val="none"/>
                <w:lang w:val="en-US" w:eastAsia="zh-CN" w:bidi="ar-SA"/>
              </w:rPr>
              <w:t>支持分类别运动调查，结合儿童运动发育指标检测、青少年运动量调查及心率记录数据，评估儿童运动发展、运动效果是否达标。</w:t>
            </w:r>
          </w:p>
          <w:p>
            <w:pPr>
              <w:ind w:firstLine="0" w:firstLineChars="0"/>
              <w:rPr>
                <w:rFonts w:hint="default" w:ascii="Calibri" w:hAnsi="Calibri"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3.</w:t>
            </w:r>
            <w:r>
              <w:rPr>
                <w:rFonts w:hint="eastAsia" w:ascii="Calibri" w:hAnsi="Calibri" w:eastAsia="宋体" w:cs="Times New Roman"/>
                <w:color w:val="auto"/>
                <w:kern w:val="2"/>
                <w:sz w:val="21"/>
                <w:szCs w:val="24"/>
                <w:highlight w:val="none"/>
                <w:lang w:val="en-US" w:eastAsia="zh-CN" w:bidi="ar-SA"/>
              </w:rPr>
              <w:t>5岁以下儿童运动发育评价，评估儿童精细运动，大运动是否发育良好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2</w:t>
            </w:r>
          </w:p>
        </w:tc>
        <w:tc>
          <w:tcPr>
            <w:tcW w:w="499" w:type="pct"/>
            <w:vMerge w:val="restart"/>
            <w:tcBorders>
              <w:top w:val="single" w:color="000000" w:sz="4" w:space="0"/>
              <w:left w:val="single" w:color="000000" w:sz="4" w:space="0"/>
              <w:right w:val="single" w:color="000000" w:sz="4" w:space="0"/>
            </w:tcBorders>
            <w:shd w:val="clear" w:color="auto" w:fill="FFFFFF"/>
            <w:vAlign w:val="center"/>
          </w:tcPr>
          <w:p>
            <w:pPr>
              <w:jc w:val="center"/>
              <w:rPr>
                <w:rFonts w:hint="default" w:asciiTheme="minorEastAsia" w:hAnsiTheme="minorEastAsia" w:eastAsiaTheme="minorEastAsia" w:cstheme="minorEastAsia"/>
                <w:i w:val="0"/>
                <w:iCs w:val="0"/>
                <w:color w:val="000000"/>
                <w:sz w:val="24"/>
                <w:szCs w:val="24"/>
                <w:u w:val="none"/>
                <w:lang w:val="en-US"/>
              </w:rPr>
            </w:pPr>
            <w:r>
              <w:rPr>
                <w:rFonts w:hint="eastAsia"/>
                <w:b/>
                <w:bCs/>
                <w:vertAlign w:val="baseline"/>
                <w:lang w:val="en-US" w:eastAsia="zh-CN"/>
              </w:rPr>
              <w:t>多方位数据转换、输出系统模块</w:t>
            </w:r>
          </w:p>
        </w:tc>
        <w:tc>
          <w:tcPr>
            <w:tcW w:w="921" w:type="pct"/>
            <w:tcBorders>
              <w:top w:val="single" w:color="auto"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eastAsia="宋体" w:asciiTheme="minorAscii" w:hAnsiTheme="minorAscii" w:cstheme="minorBidi"/>
                <w:kern w:val="2"/>
                <w:sz w:val="21"/>
                <w:szCs w:val="21"/>
                <w:vertAlign w:val="baseline"/>
                <w:lang w:val="en-US" w:eastAsia="zh-CN" w:bidi="ar-SA"/>
              </w:rPr>
            </w:pPr>
            <w:r>
              <w:rPr>
                <w:rFonts w:hint="eastAsia"/>
                <w:vertAlign w:val="baseline"/>
                <w:lang w:eastAsia="zh-CN"/>
              </w:rPr>
              <w:t>数据分析</w:t>
            </w:r>
          </w:p>
        </w:tc>
        <w:tc>
          <w:tcPr>
            <w:tcW w:w="3333" w:type="pct"/>
            <w:tcBorders>
              <w:top w:val="single" w:color="auto" w:sz="4" w:space="0"/>
              <w:left w:val="single" w:color="000000" w:sz="4" w:space="0"/>
              <w:bottom w:val="single" w:color="000000" w:sz="4" w:space="0"/>
              <w:right w:val="single" w:color="000000" w:sz="4" w:space="0"/>
            </w:tcBorders>
            <w:shd w:val="clear" w:color="auto" w:fill="auto"/>
            <w:vAlign w:val="top"/>
          </w:tcPr>
          <w:p>
            <w:pPr>
              <w:ind w:firstLine="0" w:firstLineChars="0"/>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对采集的体成分数据、实验室数据、体格检查等数据进行分析处理，给出个性化膳食指导方案（食谱、运动指导、疾病指导等）。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99"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体成分数据结果对比</w:t>
            </w:r>
          </w:p>
        </w:tc>
        <w:tc>
          <w:tcPr>
            <w:tcW w:w="3333" w:type="pct"/>
            <w:tcBorders>
              <w:top w:val="single" w:color="000000" w:sz="4" w:space="0"/>
              <w:left w:val="single" w:color="000000" w:sz="4" w:space="0"/>
              <w:bottom w:val="single" w:color="000000" w:sz="4" w:space="0"/>
              <w:right w:val="single" w:color="000000" w:sz="4" w:space="0"/>
            </w:tcBorders>
            <w:shd w:val="clear" w:color="auto" w:fill="auto"/>
            <w:vAlign w:val="top"/>
          </w:tcPr>
          <w:p>
            <w:pPr>
              <w:ind w:firstLine="0" w:firstLineChars="0"/>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多次采集的人体成分数据可自动生成变化曲线。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99"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eastAsia="宋体" w:asciiTheme="minorAscii" w:hAnsiTheme="minorAscii" w:cstheme="minorBidi"/>
                <w:kern w:val="2"/>
                <w:sz w:val="21"/>
                <w:szCs w:val="21"/>
                <w:vertAlign w:val="baseline"/>
                <w:lang w:val="en-US" w:eastAsia="zh-CN" w:bidi="ar-SA"/>
              </w:rPr>
            </w:pPr>
            <w:r>
              <w:rPr>
                <w:rFonts w:hint="eastAsia"/>
                <w:vertAlign w:val="baseline"/>
                <w:lang w:eastAsia="zh-CN"/>
              </w:rPr>
              <w:t>生长发育曲线</w:t>
            </w:r>
          </w:p>
        </w:tc>
        <w:tc>
          <w:tcPr>
            <w:tcW w:w="3333" w:type="pct"/>
            <w:tcBorders>
              <w:top w:val="single" w:color="000000" w:sz="4" w:space="0"/>
              <w:left w:val="single" w:color="000000" w:sz="4" w:space="0"/>
              <w:bottom w:val="single" w:color="000000" w:sz="4" w:space="0"/>
              <w:right w:val="single" w:color="000000" w:sz="4" w:space="0"/>
            </w:tcBorders>
            <w:shd w:val="clear" w:color="auto" w:fill="auto"/>
            <w:vAlign w:val="top"/>
          </w:tcPr>
          <w:p>
            <w:pPr>
              <w:ind w:firstLine="0" w:firstLineChars="0"/>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根据WHO的标准，采用“Z评分和百分位评分”两种方式，制作儿童体格生长发育曲线图；身高、体重有九省市生长发育参考标准。多次体格检查数据可连接成变化曲线，便于观察生长发育趋势。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99"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Fenton曲线</w:t>
            </w:r>
          </w:p>
        </w:tc>
        <w:tc>
          <w:tcPr>
            <w:tcW w:w="3333" w:type="pct"/>
            <w:tcBorders>
              <w:top w:val="single" w:color="000000" w:sz="4" w:space="0"/>
              <w:left w:val="single" w:color="000000" w:sz="4" w:space="0"/>
              <w:bottom w:val="single" w:color="000000" w:sz="4" w:space="0"/>
              <w:right w:val="single" w:color="000000" w:sz="4" w:space="0"/>
            </w:tcBorders>
            <w:shd w:val="clear" w:color="auto" w:fill="auto"/>
            <w:vAlign w:val="top"/>
          </w:tcPr>
          <w:p>
            <w:pPr>
              <w:ind w:firstLine="0" w:firstLineChars="0"/>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针对较小年龄阶段早产儿，评测生长发育状况。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99" w:type="pct"/>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营养风险筛查</w:t>
            </w:r>
          </w:p>
        </w:tc>
        <w:tc>
          <w:tcPr>
            <w:tcW w:w="3333" w:type="pct"/>
            <w:tcBorders>
              <w:top w:val="single" w:color="000000" w:sz="4" w:space="0"/>
              <w:left w:val="single" w:color="000000" w:sz="4" w:space="0"/>
              <w:bottom w:val="single" w:color="000000" w:sz="4" w:space="0"/>
              <w:right w:val="single" w:color="000000" w:sz="4" w:space="0"/>
            </w:tcBorders>
            <w:shd w:val="clear" w:color="auto" w:fill="auto"/>
            <w:vAlign w:val="top"/>
          </w:tcPr>
          <w:p>
            <w:pPr>
              <w:ind w:firstLine="0" w:firstLineChars="0"/>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可选STAMP、STRONGKIDS风险筛查表，自动算出筛查评分，评估营养风险等。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3</w:t>
            </w:r>
          </w:p>
        </w:tc>
        <w:tc>
          <w:tcPr>
            <w:tcW w:w="499" w:type="pct"/>
            <w:vMerge w:val="restart"/>
            <w:tcBorders>
              <w:top w:val="single" w:color="000000" w:sz="4" w:space="0"/>
              <w:left w:val="single" w:color="000000" w:sz="4" w:space="0"/>
              <w:right w:val="single" w:color="000000" w:sz="4" w:space="0"/>
            </w:tcBorders>
            <w:shd w:val="clear" w:color="auto" w:fill="FFFFFF"/>
            <w:vAlign w:val="center"/>
          </w:tcPr>
          <w:p>
            <w:pPr>
              <w:jc w:val="center"/>
              <w:rPr>
                <w:rFonts w:hint="default" w:asciiTheme="minorEastAsia" w:hAnsiTheme="minorEastAsia" w:eastAsiaTheme="minorEastAsia" w:cstheme="minorEastAsia"/>
                <w:i w:val="0"/>
                <w:iCs w:val="0"/>
                <w:color w:val="000000"/>
                <w:sz w:val="24"/>
                <w:szCs w:val="24"/>
                <w:u w:val="none"/>
                <w:lang w:val="en-US"/>
              </w:rPr>
            </w:pPr>
            <w:r>
              <w:rPr>
                <w:rFonts w:hint="eastAsia"/>
                <w:b/>
                <w:bCs/>
                <w:vertAlign w:val="baseline"/>
                <w:lang w:val="en-US" w:eastAsia="zh-CN"/>
              </w:rPr>
              <w:t>营养分析指导系统模块</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both"/>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膳食分析</w:t>
            </w:r>
          </w:p>
        </w:tc>
        <w:tc>
          <w:tcPr>
            <w:tcW w:w="3333" w:type="pct"/>
            <w:tcBorders>
              <w:top w:val="single" w:color="000000" w:sz="4" w:space="0"/>
              <w:left w:val="single" w:color="000000" w:sz="4" w:space="0"/>
              <w:bottom w:val="single" w:color="000000" w:sz="4" w:space="0"/>
              <w:right w:val="single" w:color="000000" w:sz="4" w:space="0"/>
            </w:tcBorders>
            <w:shd w:val="clear" w:color="auto" w:fill="auto"/>
            <w:vAlign w:val="top"/>
          </w:tcPr>
          <w:p>
            <w:pPr>
              <w:ind w:firstLine="0" w:firstLineChars="0"/>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营养素分析、膳食结构分析、能量来源和三餐能量分析、蛋白质来源分析、脂肪来源分析以及营养素结果评估不足，并给出推荐食物。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99"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个性化膳食配餐</w:t>
            </w:r>
          </w:p>
        </w:tc>
        <w:tc>
          <w:tcPr>
            <w:tcW w:w="3333" w:type="pct"/>
            <w:tcBorders>
              <w:top w:val="single" w:color="000000" w:sz="4" w:space="0"/>
              <w:left w:val="single" w:color="000000" w:sz="4" w:space="0"/>
              <w:bottom w:val="single" w:color="000000" w:sz="4" w:space="0"/>
              <w:right w:val="single" w:color="000000" w:sz="4" w:space="0"/>
            </w:tcBorders>
            <w:shd w:val="clear" w:color="auto" w:fill="auto"/>
            <w:vAlign w:val="top"/>
          </w:tcPr>
          <w:p>
            <w:pPr>
              <w:ind w:firstLine="0" w:firstLineChars="0"/>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依据儿童测量数据、年龄及生长发育情况给出个性化带量食谱，每餐每道菜品给出所需各项食材具体重量。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99"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多样化配餐</w:t>
            </w:r>
          </w:p>
        </w:tc>
        <w:tc>
          <w:tcPr>
            <w:tcW w:w="3333" w:type="pct"/>
            <w:tcBorders>
              <w:top w:val="single" w:color="000000" w:sz="4" w:space="0"/>
              <w:left w:val="single" w:color="000000" w:sz="4" w:space="0"/>
              <w:bottom w:val="single" w:color="000000" w:sz="4" w:space="0"/>
              <w:right w:val="single" w:color="000000" w:sz="4" w:space="0"/>
            </w:tcBorders>
            <w:shd w:val="clear" w:color="auto" w:fill="auto"/>
            <w:vAlign w:val="top"/>
          </w:tcPr>
          <w:p>
            <w:pPr>
              <w:ind w:firstLine="0" w:firstLineChars="0"/>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可选择一次性提供1--7套配餐方案。支持患儿定制食谱功能。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99"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营养补充剂推荐</w:t>
            </w:r>
          </w:p>
        </w:tc>
        <w:tc>
          <w:tcPr>
            <w:tcW w:w="3333" w:type="pct"/>
            <w:tcBorders>
              <w:top w:val="single" w:color="000000" w:sz="4" w:space="0"/>
              <w:left w:val="single" w:color="000000" w:sz="4" w:space="0"/>
              <w:bottom w:val="single" w:color="000000" w:sz="4" w:space="0"/>
              <w:right w:val="single" w:color="000000" w:sz="4" w:space="0"/>
            </w:tcBorders>
            <w:shd w:val="clear" w:color="auto" w:fill="auto"/>
            <w:vAlign w:val="top"/>
          </w:tcPr>
          <w:p>
            <w:pPr>
              <w:ind w:firstLine="0" w:firstLineChars="0"/>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支持开出营养补充剂等营养处方。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99"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推荐膳食评估</w:t>
            </w:r>
          </w:p>
        </w:tc>
        <w:tc>
          <w:tcPr>
            <w:tcW w:w="3333" w:type="pct"/>
            <w:tcBorders>
              <w:top w:val="single" w:color="000000" w:sz="4" w:space="0"/>
              <w:left w:val="single" w:color="000000" w:sz="4" w:space="0"/>
              <w:bottom w:val="single" w:color="000000" w:sz="4" w:space="0"/>
              <w:right w:val="single" w:color="000000" w:sz="4" w:space="0"/>
            </w:tcBorders>
            <w:shd w:val="clear" w:color="auto" w:fill="auto"/>
            <w:vAlign w:val="top"/>
          </w:tcPr>
          <w:p>
            <w:pPr>
              <w:ind w:firstLine="0" w:firstLineChars="0"/>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自动分析膳食结构含量、配餐方案的餐次供能分布、能量来源分布和各营养素含量。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99"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运动指导</w:t>
            </w:r>
          </w:p>
        </w:tc>
        <w:tc>
          <w:tcPr>
            <w:tcW w:w="3333" w:type="pct"/>
            <w:tcBorders>
              <w:top w:val="single" w:color="000000" w:sz="4" w:space="0"/>
              <w:left w:val="single" w:color="000000" w:sz="4" w:space="0"/>
              <w:bottom w:val="single" w:color="000000" w:sz="4" w:space="0"/>
              <w:right w:val="single" w:color="000000" w:sz="4" w:space="0"/>
            </w:tcBorders>
            <w:shd w:val="clear" w:color="auto" w:fill="auto"/>
            <w:vAlign w:val="top"/>
          </w:tcPr>
          <w:p>
            <w:pPr>
              <w:ind w:firstLine="0" w:firstLineChars="0"/>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根据运动调查，并自动计算出各类运动消耗的能量和总能量统计。针对不同年龄阶段给出运动建议，促进肢体协调发展。针对肥胖儿童给出特殊运动指导，协助减脂减重。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99"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膳食指导</w:t>
            </w:r>
          </w:p>
        </w:tc>
        <w:tc>
          <w:tcPr>
            <w:tcW w:w="3333" w:type="pct"/>
            <w:tcBorders>
              <w:top w:val="single" w:color="000000" w:sz="4" w:space="0"/>
              <w:left w:val="single" w:color="000000" w:sz="4" w:space="0"/>
              <w:bottom w:val="single" w:color="000000" w:sz="4" w:space="0"/>
              <w:right w:val="single" w:color="000000" w:sz="4" w:space="0"/>
            </w:tcBorders>
            <w:shd w:val="clear" w:color="auto" w:fill="auto"/>
            <w:vAlign w:val="top"/>
          </w:tcPr>
          <w:p>
            <w:pPr>
              <w:ind w:firstLine="0" w:firstLineChars="0"/>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提供每个年龄阶段膳食指导。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99"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疾病指导</w:t>
            </w:r>
          </w:p>
        </w:tc>
        <w:tc>
          <w:tcPr>
            <w:tcW w:w="3333" w:type="pct"/>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0"/>
              </w:numPr>
              <w:ind w:left="0" w:leftChars="0" w:firstLine="0" w:firstLineChars="0"/>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针对儿童各系统常见疾病，给出相关营养指导模板库≥150种。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99"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信息档案统计管理</w:t>
            </w:r>
          </w:p>
        </w:tc>
        <w:tc>
          <w:tcPr>
            <w:tcW w:w="3333" w:type="pct"/>
            <w:tcBorders>
              <w:top w:val="single" w:color="000000" w:sz="4" w:space="0"/>
              <w:left w:val="single" w:color="000000" w:sz="4" w:space="0"/>
              <w:bottom w:val="single" w:color="000000" w:sz="4" w:space="0"/>
              <w:right w:val="single" w:color="000000" w:sz="4" w:space="0"/>
            </w:tcBorders>
            <w:shd w:val="clear" w:color="auto" w:fill="auto"/>
            <w:vAlign w:val="top"/>
          </w:tcPr>
          <w:p>
            <w:pPr>
              <w:ind w:firstLine="0" w:firstLineChars="0"/>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按照日期统计医生工作量、档案信息及检查项目情况、患者人体成分检测各项数据。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45" w:type="pct"/>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99" w:type="pct"/>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设置及权限功能</w:t>
            </w:r>
          </w:p>
        </w:tc>
        <w:tc>
          <w:tcPr>
            <w:tcW w:w="3333" w:type="pct"/>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vertAlign w:val="baseline"/>
                <w:lang w:val="en-US" w:eastAsia="zh-CN"/>
              </w:rPr>
            </w:pPr>
            <w:r>
              <w:rPr>
                <w:rFonts w:hint="eastAsia"/>
                <w:vertAlign w:val="baseline"/>
                <w:lang w:val="en-US" w:eastAsia="zh-CN"/>
              </w:rPr>
              <w:t>1、院可自主配置食谱库，根据年龄段、能量段等，选择食谱可根据名称搜索</w:t>
            </w:r>
          </w:p>
          <w:p>
            <w:pPr>
              <w:rPr>
                <w:rFonts w:hint="eastAsia"/>
                <w:vertAlign w:val="baseline"/>
                <w:lang w:val="en-US" w:eastAsia="zh-CN"/>
              </w:rPr>
            </w:pPr>
            <w:r>
              <w:rPr>
                <w:rFonts w:hint="eastAsia"/>
                <w:vertAlign w:val="baseline"/>
                <w:lang w:val="en-US" w:eastAsia="zh-CN"/>
              </w:rPr>
              <w:t>2、营养补充剂设置，可自行增减补充剂库中的营养补充剂</w:t>
            </w:r>
          </w:p>
          <w:p>
            <w:pPr>
              <w:rPr>
                <w:rFonts w:hint="eastAsia"/>
                <w:vertAlign w:val="baseline"/>
                <w:lang w:val="en-US" w:eastAsia="zh-CN"/>
              </w:rPr>
            </w:pPr>
            <w:r>
              <w:rPr>
                <w:rFonts w:hint="eastAsia"/>
                <w:vertAlign w:val="baseline"/>
                <w:lang w:val="en-US" w:eastAsia="zh-CN"/>
              </w:rPr>
              <w:t>3、机构设置，对医院下属及上属有同样设备的医院可设置机构号后转诊接诊患儿。</w:t>
            </w:r>
          </w:p>
          <w:p>
            <w:pPr>
              <w:ind w:firstLine="0" w:firstLineChars="0"/>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4、医院内部人员管理，设置账号密码，管理员可分配其他人员管理的模块功能等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45" w:type="pct"/>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4</w:t>
            </w:r>
          </w:p>
        </w:tc>
        <w:tc>
          <w:tcPr>
            <w:tcW w:w="499" w:type="pct"/>
            <w:vMerge w:val="restart"/>
            <w:tcBorders>
              <w:top w:val="single" w:color="000000" w:sz="4" w:space="0"/>
              <w:left w:val="single" w:color="000000" w:sz="4" w:space="0"/>
              <w:right w:val="single" w:color="000000" w:sz="4" w:space="0"/>
            </w:tcBorders>
            <w:shd w:val="clear" w:color="auto" w:fill="FFFFFF"/>
            <w:vAlign w:val="center"/>
          </w:tcPr>
          <w:p>
            <w:pPr>
              <w:jc w:val="center"/>
              <w:rPr>
                <w:rFonts w:hint="default" w:asciiTheme="minorEastAsia" w:hAnsiTheme="minorEastAsia" w:eastAsiaTheme="minorEastAsia" w:cstheme="minorEastAsia"/>
                <w:i w:val="0"/>
                <w:iCs w:val="0"/>
                <w:color w:val="000000"/>
                <w:sz w:val="24"/>
                <w:szCs w:val="24"/>
                <w:u w:val="none"/>
                <w:lang w:val="en-US"/>
              </w:rPr>
            </w:pPr>
            <w:r>
              <w:rPr>
                <w:rFonts w:hint="eastAsia"/>
                <w:b/>
                <w:bCs/>
                <w:vertAlign w:val="baseline"/>
                <w:lang w:val="en-US" w:eastAsia="zh-CN"/>
              </w:rPr>
              <w:t>手机端小程序家庭监测模块</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数据传输</w:t>
            </w:r>
          </w:p>
        </w:tc>
        <w:tc>
          <w:tcPr>
            <w:tcW w:w="3333" w:type="pct"/>
            <w:tcBorders>
              <w:top w:val="single" w:color="000000" w:sz="4" w:space="0"/>
              <w:left w:val="single" w:color="000000" w:sz="4" w:space="0"/>
              <w:bottom w:val="single" w:color="000000" w:sz="4" w:space="0"/>
              <w:right w:val="single" w:color="000000" w:sz="4" w:space="0"/>
            </w:tcBorders>
            <w:shd w:val="clear" w:color="auto" w:fill="auto"/>
            <w:vAlign w:val="top"/>
          </w:tcPr>
          <w:p>
            <w:pPr>
              <w:ind w:firstLine="0" w:firstLineChars="0"/>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手机端与PC平台信息实时互联互通，有外网时无需借助中间介质，无网络可支持另配扫码机读取。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45"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99" w:type="pct"/>
            <w:vMerge w:val="continue"/>
            <w:tcBorders>
              <w:left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查看内容</w:t>
            </w:r>
          </w:p>
        </w:tc>
        <w:tc>
          <w:tcPr>
            <w:tcW w:w="3333" w:type="pct"/>
            <w:tcBorders>
              <w:top w:val="single" w:color="000000" w:sz="4" w:space="0"/>
              <w:left w:val="single" w:color="000000" w:sz="4" w:space="0"/>
              <w:bottom w:val="single" w:color="000000" w:sz="4" w:space="0"/>
              <w:right w:val="single" w:color="000000" w:sz="4" w:space="0"/>
            </w:tcBorders>
            <w:shd w:val="clear" w:color="auto" w:fill="auto"/>
            <w:vAlign w:val="top"/>
          </w:tcPr>
          <w:p>
            <w:pPr>
              <w:ind w:firstLine="0" w:firstLineChars="0"/>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可查看个性化营养食谱、检测报告单、日营养报告比对，食材营养素比对等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45" w:type="pct"/>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99" w:type="pct"/>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left"/>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记录内容</w:t>
            </w:r>
          </w:p>
        </w:tc>
        <w:tc>
          <w:tcPr>
            <w:tcW w:w="3333" w:type="pct"/>
            <w:tcBorders>
              <w:top w:val="single" w:color="000000" w:sz="4" w:space="0"/>
              <w:left w:val="single" w:color="000000" w:sz="4" w:space="0"/>
              <w:bottom w:val="single" w:color="000000" w:sz="4" w:space="0"/>
              <w:right w:val="single" w:color="000000" w:sz="4" w:space="0"/>
            </w:tcBorders>
            <w:shd w:val="clear" w:color="auto" w:fill="auto"/>
            <w:vAlign w:val="top"/>
          </w:tcPr>
          <w:p>
            <w:pPr>
              <w:ind w:firstLine="0" w:firstLineChars="0"/>
              <w:rPr>
                <w:rFonts w:hint="eastAsia" w:eastAsia="宋体" w:asciiTheme="minorAscii" w:hAnsiTheme="minorAscii" w:cstheme="minorBidi"/>
                <w:kern w:val="2"/>
                <w:sz w:val="21"/>
                <w:szCs w:val="21"/>
                <w:vertAlign w:val="baseline"/>
                <w:lang w:val="en-US" w:eastAsia="zh-CN" w:bidi="ar-SA"/>
              </w:rPr>
            </w:pPr>
            <w:r>
              <w:rPr>
                <w:rFonts w:hint="eastAsia"/>
                <w:vertAlign w:val="baseline"/>
                <w:lang w:val="en-US" w:eastAsia="zh-CN"/>
              </w:rPr>
              <w:t>记录每日膳食、身高、体重、BMI指数、头围、运动等数据，实时上传至PC端。</w:t>
            </w:r>
          </w:p>
        </w:tc>
      </w:tr>
    </w:tbl>
    <w:p>
      <w:pPr>
        <w:rPr>
          <w:rFonts w:hint="eastAsia"/>
          <w:lang w:val="en-US" w:eastAsia="zh-CN"/>
        </w:rPr>
      </w:pPr>
    </w:p>
    <w:p>
      <w:pPr>
        <w:pStyle w:val="4"/>
        <w:numPr>
          <w:ilvl w:val="0"/>
          <w:numId w:val="0"/>
        </w:numPr>
        <w:bidi w:val="0"/>
        <w:ind w:leftChars="0"/>
      </w:pPr>
      <w:r>
        <w:rPr>
          <w:rFonts w:hint="eastAsia"/>
          <w:lang w:val="en-US" w:eastAsia="zh-CN"/>
        </w:rPr>
        <w:t>四、商务条款</w:t>
      </w:r>
    </w:p>
    <w:p>
      <w:pPr>
        <w:numPr>
          <w:ilvl w:val="0"/>
          <w:numId w:val="3"/>
        </w:numPr>
        <w:bidi w:val="0"/>
        <w:rPr>
          <w:rFonts w:hint="eastAsia"/>
        </w:rPr>
      </w:pPr>
      <w:r>
        <w:rPr>
          <w:rFonts w:hint="eastAsia"/>
        </w:rPr>
        <w:t>本次项目中涉及的系统软件须至少提供原厂</w:t>
      </w:r>
      <w:r>
        <w:rPr>
          <w:rFonts w:hint="eastAsia"/>
          <w:lang w:val="en-US" w:eastAsia="zh-CN"/>
        </w:rPr>
        <w:t>叁</w:t>
      </w:r>
      <w:r>
        <w:rPr>
          <w:rFonts w:hint="eastAsia"/>
        </w:rPr>
        <w:t>年质保服务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自项目验收之日起</w:t>
      </w:r>
      <w:r>
        <w:rPr>
          <w:rFonts w:hint="eastAsia" w:ascii="宋体" w:hAnsi="宋体" w:eastAsia="宋体" w:cs="宋体"/>
          <w:color w:val="auto"/>
          <w:szCs w:val="21"/>
          <w:highlight w:val="none"/>
          <w:lang w:eastAsia="zh-CN"/>
        </w:rPr>
        <w:t>）</w:t>
      </w:r>
      <w:r>
        <w:rPr>
          <w:rFonts w:hint="eastAsia"/>
        </w:rPr>
        <w:t>。</w:t>
      </w:r>
    </w:p>
    <w:p>
      <w:pPr>
        <w:numPr>
          <w:ilvl w:val="0"/>
          <w:numId w:val="3"/>
        </w:numPr>
        <w:bidi w:val="0"/>
        <w:rPr>
          <w:rFonts w:hint="default"/>
          <w:lang w:val="en-US" w:eastAsia="zh-CN"/>
        </w:rPr>
      </w:pPr>
      <w:r>
        <w:rPr>
          <w:rFonts w:hint="eastAsia"/>
          <w:lang w:val="en-US" w:eastAsia="zh-CN"/>
        </w:rPr>
        <w:t>报价</w:t>
      </w:r>
      <w:r>
        <w:rPr>
          <w:rFonts w:hint="eastAsia"/>
        </w:rPr>
        <w:t>人负责项目相关设备软件的安装、调试及上线，招标单位予以配合。</w:t>
      </w:r>
    </w:p>
    <w:p>
      <w:pPr>
        <w:numPr>
          <w:ilvl w:val="0"/>
          <w:numId w:val="3"/>
        </w:numPr>
        <w:bidi w:val="0"/>
      </w:pPr>
      <w:r>
        <w:rPr>
          <w:rFonts w:hint="eastAsia"/>
          <w:lang w:val="en-US" w:eastAsia="zh-CN"/>
        </w:rPr>
        <w:t>报价</w:t>
      </w:r>
      <w:r>
        <w:rPr>
          <w:rFonts w:hint="eastAsia" w:eastAsia="宋体"/>
        </w:rPr>
        <w:t>人负责与医院现有系统的对接，但不承担第三方收取的因对接工作收取的接口费</w:t>
      </w:r>
      <w:r>
        <w:rPr>
          <w:rFonts w:hint="eastAsia" w:eastAsia="宋体"/>
          <w:lang w:eastAsia="zh-CN"/>
        </w:rPr>
        <w:t>。</w:t>
      </w:r>
    </w:p>
    <w:p>
      <w:pPr>
        <w:numPr>
          <w:ilvl w:val="0"/>
          <w:numId w:val="3"/>
        </w:numPr>
        <w:bidi w:val="0"/>
      </w:pPr>
      <w:r>
        <w:rPr>
          <w:rFonts w:hint="eastAsia"/>
          <w:lang w:val="en-US" w:eastAsia="zh-CN"/>
        </w:rPr>
        <w:t>报价</w:t>
      </w:r>
      <w:r>
        <w:rPr>
          <w:rFonts w:hint="eastAsia"/>
        </w:rPr>
        <w:t>人有良好的售后服务能力，需提供全年7天24小时服务（电话、远程或现场），并在接到招标人通知后</w:t>
      </w:r>
      <w:r>
        <w:rPr>
          <w:rFonts w:hint="eastAsia"/>
          <w:lang w:val="en-US" w:eastAsia="zh-CN"/>
        </w:rPr>
        <w:t>2</w:t>
      </w:r>
      <w:r>
        <w:rPr>
          <w:rFonts w:hint="eastAsia"/>
        </w:rPr>
        <w:t>4小时内到达现场。项目验收合格后，每年不低于</w:t>
      </w:r>
      <w:r>
        <w:rPr>
          <w:rFonts w:hint="eastAsia"/>
          <w:lang w:val="en-US" w:eastAsia="zh-CN"/>
        </w:rPr>
        <w:t>2</w:t>
      </w:r>
      <w:r>
        <w:rPr>
          <w:rFonts w:hint="eastAsia"/>
        </w:rPr>
        <w:t>次的例行维护及巡检。</w:t>
      </w:r>
    </w:p>
    <w:p>
      <w:pPr>
        <w:numPr>
          <w:ilvl w:val="0"/>
          <w:numId w:val="3"/>
        </w:numPr>
        <w:bidi w:val="0"/>
        <w:rPr>
          <w:rFonts w:hint="default"/>
          <w:lang w:val="en-US" w:eastAsia="zh-CN"/>
        </w:rPr>
      </w:pPr>
      <w:r>
        <w:rPr>
          <w:rFonts w:hint="eastAsia"/>
        </w:rPr>
        <w:t>培训：根据医院的情况制定相关培训方案，课程设置等。所有的培训费用必须计入</w:t>
      </w:r>
      <w:r>
        <w:rPr>
          <w:rFonts w:hint="eastAsia"/>
          <w:lang w:val="en-US" w:eastAsia="zh-CN"/>
        </w:rPr>
        <w:t>报价</w:t>
      </w:r>
      <w:r>
        <w:rPr>
          <w:rFonts w:hint="eastAsia"/>
        </w:rPr>
        <w:t>总价。</w:t>
      </w:r>
    </w:p>
    <w:p>
      <w:pPr>
        <w:pStyle w:val="4"/>
        <w:numPr>
          <w:ilvl w:val="0"/>
          <w:numId w:val="0"/>
        </w:numPr>
        <w:bidi w:val="0"/>
        <w:ind w:leftChars="0"/>
      </w:pPr>
      <w:r>
        <w:rPr>
          <w:rFonts w:hint="eastAsia"/>
          <w:lang w:val="en-US" w:eastAsia="zh-CN"/>
        </w:rPr>
        <w:t>五、</w:t>
      </w:r>
      <w:r>
        <w:rPr>
          <w:rFonts w:hint="eastAsia"/>
        </w:rPr>
        <w:t>评分标准</w:t>
      </w:r>
    </w:p>
    <w:p>
      <w:pPr>
        <w:pStyle w:val="5"/>
        <w:bidi w:val="0"/>
        <w:rPr>
          <w:rFonts w:hint="eastAsia"/>
        </w:rPr>
      </w:pPr>
      <w:r>
        <w:rPr>
          <w:rFonts w:hint="eastAsia"/>
        </w:rPr>
        <w:t>评标方法</w:t>
      </w:r>
    </w:p>
    <w:p>
      <w:pPr>
        <w:ind w:firstLine="480"/>
      </w:pPr>
      <w:r>
        <w:rPr>
          <w:rFonts w:hint="eastAsia"/>
        </w:rPr>
        <w:t>本次评标采用综合评分法，</w:t>
      </w:r>
      <w:r>
        <w:rPr>
          <w:rFonts w:hint="eastAsia"/>
          <w:lang w:val="en-US" w:eastAsia="zh-CN"/>
        </w:rPr>
        <w:t>报价</w:t>
      </w:r>
      <w:r>
        <w:rPr>
          <w:rFonts w:hint="eastAsia"/>
        </w:rPr>
        <w:t>文件满足招标文件全部实质性要求且按照评审因素的量化指标评审得分最高的</w:t>
      </w:r>
      <w:r>
        <w:rPr>
          <w:rFonts w:hint="eastAsia"/>
          <w:lang w:val="en-US" w:eastAsia="zh-CN"/>
        </w:rPr>
        <w:t>报价</w:t>
      </w:r>
      <w:r>
        <w:rPr>
          <w:rFonts w:hint="eastAsia"/>
          <w:lang w:eastAsia="zh-CN"/>
        </w:rPr>
        <w:t>人</w:t>
      </w:r>
      <w:r>
        <w:rPr>
          <w:rFonts w:hint="eastAsia"/>
        </w:rPr>
        <w:t>为中标候选人。</w:t>
      </w:r>
    </w:p>
    <w:p>
      <w:pPr>
        <w:pStyle w:val="5"/>
        <w:bidi w:val="0"/>
        <w:rPr>
          <w:rFonts w:hint="eastAsia"/>
        </w:rPr>
      </w:pPr>
      <w:r>
        <w:rPr>
          <w:rFonts w:hint="eastAsia"/>
        </w:rPr>
        <w:t>评分标准</w:t>
      </w:r>
    </w:p>
    <w:p>
      <w:pPr>
        <w:ind w:firstLine="480"/>
        <w:rPr>
          <w:rFonts w:hint="eastAsia" w:eastAsia="宋体"/>
        </w:rPr>
      </w:pPr>
      <w:r>
        <w:rPr>
          <w:rFonts w:hint="eastAsia" w:eastAsia="宋体"/>
        </w:rPr>
        <w:t>共100分，其中商务技术分</w:t>
      </w:r>
      <w:r>
        <w:rPr>
          <w:rFonts w:hint="eastAsia"/>
          <w:lang w:val="en-US" w:eastAsia="zh-CN"/>
        </w:rPr>
        <w:t>9</w:t>
      </w:r>
      <w:r>
        <w:rPr>
          <w:rFonts w:hint="eastAsia" w:eastAsia="宋体"/>
        </w:rPr>
        <w:t>0分，价格分</w:t>
      </w:r>
      <w:r>
        <w:rPr>
          <w:rFonts w:hint="eastAsia"/>
          <w:lang w:val="en-US" w:eastAsia="zh-CN"/>
        </w:rPr>
        <w:t>1</w:t>
      </w:r>
      <w:r>
        <w:rPr>
          <w:rFonts w:hint="eastAsia" w:eastAsia="宋体"/>
        </w:rPr>
        <w:t>0分。评分依下述所列为评标打分依据。</w:t>
      </w:r>
    </w:p>
    <w:p>
      <w:pPr>
        <w:pStyle w:val="6"/>
        <w:bidi w:val="0"/>
      </w:pPr>
      <w:r>
        <w:rPr>
          <w:rFonts w:hint="eastAsia"/>
        </w:rPr>
        <w:t>价格分</w:t>
      </w:r>
      <w:r>
        <w:rPr>
          <w:rFonts w:hint="eastAsia"/>
          <w:lang w:val="en-US" w:eastAsia="zh-CN"/>
        </w:rPr>
        <w:t>1</w:t>
      </w:r>
      <w:r>
        <w:rPr>
          <w:rFonts w:hint="eastAsia"/>
        </w:rPr>
        <w:t>0分</w:t>
      </w:r>
    </w:p>
    <w:p>
      <w:pPr>
        <w:ind w:firstLine="480"/>
      </w:pPr>
      <w:r>
        <w:rPr>
          <w:rFonts w:hint="eastAsia"/>
        </w:rPr>
        <w:t>不超过采购预算，满足</w:t>
      </w:r>
      <w:r>
        <w:rPr>
          <w:rFonts w:hint="eastAsia"/>
          <w:lang w:val="en-US" w:eastAsia="zh-CN"/>
        </w:rPr>
        <w:t>比选</w:t>
      </w:r>
      <w:r>
        <w:rPr>
          <w:rFonts w:hint="eastAsia"/>
        </w:rPr>
        <w:t>文件要求且有效最终评审价格最低的为基准价。</w:t>
      </w:r>
    </w:p>
    <w:p>
      <w:pPr>
        <w:ind w:firstLine="480"/>
      </w:pPr>
      <w:r>
        <w:rPr>
          <w:rFonts w:hint="eastAsia"/>
        </w:rPr>
        <w:t>各</w:t>
      </w:r>
      <w:r>
        <w:rPr>
          <w:rFonts w:hint="eastAsia"/>
          <w:lang w:val="en-US" w:eastAsia="zh-CN"/>
        </w:rPr>
        <w:t>报价</w:t>
      </w:r>
      <w:r>
        <w:rPr>
          <w:rFonts w:hint="eastAsia"/>
          <w:lang w:eastAsia="zh-CN"/>
        </w:rPr>
        <w:t>人</w:t>
      </w:r>
      <w:r>
        <w:rPr>
          <w:rFonts w:hint="eastAsia"/>
        </w:rPr>
        <w:t>的价格分统一按照下列公式计算：</w:t>
      </w:r>
    </w:p>
    <w:p>
      <w:pPr>
        <w:ind w:firstLine="482"/>
        <w:rPr>
          <w:b/>
        </w:rPr>
      </w:pPr>
      <w:r>
        <w:rPr>
          <w:rFonts w:hint="eastAsia"/>
        </w:rPr>
        <w:t>价格部分得分=基准价/各</w:t>
      </w:r>
      <w:r>
        <w:rPr>
          <w:rFonts w:hint="eastAsia"/>
          <w:lang w:val="en-US" w:eastAsia="zh-CN"/>
        </w:rPr>
        <w:t>报价</w:t>
      </w:r>
      <w:r>
        <w:rPr>
          <w:rFonts w:hint="eastAsia"/>
          <w:lang w:eastAsia="zh-CN"/>
        </w:rPr>
        <w:t>人</w:t>
      </w:r>
      <w:r>
        <w:rPr>
          <w:rFonts w:hint="eastAsia"/>
        </w:rPr>
        <w:t>最终评审价格×</w:t>
      </w:r>
      <w:r>
        <w:rPr>
          <w:rFonts w:hint="eastAsia"/>
          <w:lang w:val="en-US" w:eastAsia="zh-CN"/>
        </w:rPr>
        <w:t>1</w:t>
      </w:r>
      <w:r>
        <w:rPr>
          <w:rFonts w:hint="eastAsia"/>
        </w:rPr>
        <w:t>0。</w:t>
      </w:r>
    </w:p>
    <w:p>
      <w:pPr>
        <w:pStyle w:val="6"/>
        <w:bidi w:val="0"/>
      </w:pPr>
      <w:r>
        <w:rPr>
          <w:rFonts w:hint="eastAsia"/>
        </w:rPr>
        <w:t>商务</w:t>
      </w:r>
      <w:r>
        <w:rPr>
          <w:rFonts w:hint="eastAsia"/>
          <w:lang w:val="en-US" w:eastAsia="zh-CN"/>
        </w:rPr>
        <w:t>技术</w:t>
      </w:r>
      <w:r>
        <w:rPr>
          <w:rFonts w:hint="eastAsia"/>
        </w:rPr>
        <w:t>分</w:t>
      </w:r>
      <w:r>
        <w:rPr>
          <w:rFonts w:hint="eastAsia"/>
          <w:lang w:val="en-US" w:eastAsia="zh-CN"/>
        </w:rPr>
        <w:t>9</w:t>
      </w:r>
      <w:r>
        <w:t>0</w:t>
      </w:r>
      <w:r>
        <w:rPr>
          <w:rFonts w:hint="eastAsia"/>
        </w:rPr>
        <w:t>分</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4"/>
        <w:gridCol w:w="6182"/>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4" w:type="pct"/>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评分项目</w:t>
            </w:r>
          </w:p>
        </w:tc>
        <w:tc>
          <w:tcPr>
            <w:tcW w:w="3627" w:type="pct"/>
            <w:tcBorders>
              <w:top w:val="single" w:color="000000"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评标要点及说明</w:t>
            </w:r>
          </w:p>
        </w:tc>
        <w:tc>
          <w:tcPr>
            <w:tcW w:w="678"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61" w:hRule="atLeast"/>
        </w:trPr>
        <w:tc>
          <w:tcPr>
            <w:tcW w:w="694" w:type="pc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企业及产品认证</w:t>
            </w:r>
          </w:p>
        </w:tc>
        <w:tc>
          <w:tcPr>
            <w:tcW w:w="362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人或原厂厂家具有有效的</w:t>
            </w:r>
          </w:p>
          <w:p>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①　</w:t>
            </w:r>
            <w:r>
              <w:rPr>
                <w:rFonts w:hint="eastAsia" w:ascii="宋体" w:hAnsi="宋体" w:cs="宋体"/>
                <w:i w:val="0"/>
                <w:iCs w:val="0"/>
                <w:color w:val="000000"/>
                <w:kern w:val="0"/>
                <w:sz w:val="21"/>
                <w:szCs w:val="21"/>
                <w:u w:val="none"/>
                <w:lang w:val="en-US" w:eastAsia="zh-CN" w:bidi="ar"/>
              </w:rPr>
              <w:t>具有儿童营养信息管理系统软件著作权登记证书，得2分</w:t>
            </w:r>
          </w:p>
          <w:p>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②　</w:t>
            </w:r>
            <w:r>
              <w:rPr>
                <w:rStyle w:val="23"/>
                <w:rFonts w:hint="eastAsia"/>
                <w:lang w:val="en-US" w:eastAsia="zh-CN" w:bidi="ar"/>
              </w:rPr>
              <w:t>具有软件企业证书，得2分</w:t>
            </w:r>
          </w:p>
        </w:tc>
        <w:tc>
          <w:tcPr>
            <w:tcW w:w="678" w:type="pc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eastAsia" w:ascii="Calibri" w:hAnsi="Calibri" w:cs="Calibri"/>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694" w:type="pc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业绩</w:t>
            </w:r>
            <w:r>
              <w:rPr>
                <w:rStyle w:val="24"/>
                <w:lang w:val="en-US" w:eastAsia="zh-CN" w:bidi="ar"/>
              </w:rPr>
              <w:t>证明</w:t>
            </w:r>
          </w:p>
        </w:tc>
        <w:tc>
          <w:tcPr>
            <w:tcW w:w="362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人或原厂厂家须提供近三年（开标之日往前追溯三年，以签订合同之日或中标通知书发出之日为准）的</w:t>
            </w:r>
            <w:r>
              <w:rPr>
                <w:rFonts w:hint="eastAsia" w:ascii="宋体" w:hAnsi="宋体" w:cs="宋体"/>
                <w:i w:val="0"/>
                <w:iCs w:val="0"/>
                <w:color w:val="000000"/>
                <w:kern w:val="0"/>
                <w:sz w:val="21"/>
                <w:szCs w:val="21"/>
                <w:u w:val="none"/>
                <w:lang w:val="en-US" w:eastAsia="zh-CN" w:bidi="ar"/>
              </w:rPr>
              <w:t>类似</w:t>
            </w:r>
            <w:r>
              <w:rPr>
                <w:rFonts w:hint="eastAsia" w:ascii="宋体" w:hAnsi="宋体" w:eastAsia="宋体" w:cs="宋体"/>
                <w:i w:val="0"/>
                <w:iCs w:val="0"/>
                <w:color w:val="000000"/>
                <w:kern w:val="0"/>
                <w:sz w:val="21"/>
                <w:szCs w:val="21"/>
                <w:u w:val="none"/>
                <w:lang w:val="en-US" w:eastAsia="zh-CN" w:bidi="ar"/>
              </w:rPr>
              <w:t>建设项目应用案例，每提供一个有效业绩得</w:t>
            </w:r>
            <w:r>
              <w:rPr>
                <w:rStyle w:val="23"/>
                <w:rFonts w:hint="eastAsia"/>
                <w:lang w:val="en-US" w:eastAsia="zh-CN" w:bidi="ar"/>
              </w:rPr>
              <w:t>2</w:t>
            </w:r>
            <w:r>
              <w:rPr>
                <w:rStyle w:val="24"/>
                <w:lang w:val="en-US" w:eastAsia="zh-CN" w:bidi="ar"/>
              </w:rPr>
              <w:t>分，最高得</w:t>
            </w:r>
            <w:r>
              <w:rPr>
                <w:rStyle w:val="23"/>
                <w:rFonts w:hint="eastAsia"/>
                <w:lang w:val="en-US" w:eastAsia="zh-CN" w:bidi="ar"/>
              </w:rPr>
              <w:t>6</w:t>
            </w:r>
            <w:r>
              <w:rPr>
                <w:rStyle w:val="24"/>
                <w:lang w:val="en-US" w:eastAsia="zh-CN" w:bidi="ar"/>
              </w:rPr>
              <w:t>分。（提供中标通知书或合同复印件）。</w:t>
            </w:r>
          </w:p>
        </w:tc>
        <w:tc>
          <w:tcPr>
            <w:tcW w:w="678" w:type="pc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Calibri" w:hAnsi="Calibri" w:cs="Calibri"/>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94" w:type="pc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技术响应部分</w:t>
            </w:r>
          </w:p>
        </w:tc>
        <w:tc>
          <w:tcPr>
            <w:tcW w:w="362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根据报价人</w:t>
            </w:r>
            <w:r>
              <w:rPr>
                <w:rFonts w:hint="eastAsia" w:ascii="宋体" w:hAnsi="宋体" w:cs="宋体"/>
                <w:i w:val="0"/>
                <w:iCs w:val="0"/>
                <w:color w:val="000000"/>
                <w:kern w:val="0"/>
                <w:sz w:val="21"/>
                <w:szCs w:val="21"/>
                <w:u w:val="none"/>
                <w:lang w:val="en-US" w:eastAsia="zh-CN" w:bidi="ar"/>
              </w:rPr>
              <w:t>对</w:t>
            </w:r>
            <w:r>
              <w:rPr>
                <w:rFonts w:hint="eastAsia" w:ascii="宋体" w:hAnsi="宋体" w:eastAsia="宋体" w:cs="宋体"/>
                <w:i w:val="0"/>
                <w:iCs w:val="0"/>
                <w:color w:val="000000"/>
                <w:kern w:val="0"/>
                <w:sz w:val="21"/>
                <w:szCs w:val="21"/>
                <w:u w:val="none"/>
                <w:lang w:val="en-US" w:eastAsia="zh-CN" w:bidi="ar"/>
              </w:rPr>
              <w:t>项目</w:t>
            </w:r>
            <w:r>
              <w:rPr>
                <w:rFonts w:hint="eastAsia" w:ascii="宋体" w:hAnsi="宋体" w:cs="宋体"/>
                <w:i w:val="0"/>
                <w:iCs w:val="0"/>
                <w:color w:val="000000"/>
                <w:kern w:val="0"/>
                <w:sz w:val="21"/>
                <w:szCs w:val="21"/>
                <w:u w:val="none"/>
                <w:lang w:val="en-US" w:eastAsia="zh-CN" w:bidi="ar"/>
              </w:rPr>
              <w:t>技术要求、功能要求的具体响应情况</w:t>
            </w:r>
            <w:r>
              <w:rPr>
                <w:rFonts w:hint="eastAsia" w:ascii="宋体" w:hAnsi="宋体" w:eastAsia="宋体" w:cs="宋体"/>
                <w:i w:val="0"/>
                <w:iCs w:val="0"/>
                <w:color w:val="000000"/>
                <w:kern w:val="0"/>
                <w:sz w:val="21"/>
                <w:szCs w:val="21"/>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 项目</w:t>
            </w:r>
            <w:r>
              <w:rPr>
                <w:rFonts w:hint="eastAsia" w:ascii="宋体" w:hAnsi="宋体" w:cs="宋体"/>
                <w:i w:val="0"/>
                <w:iCs w:val="0"/>
                <w:color w:val="000000"/>
                <w:kern w:val="0"/>
                <w:sz w:val="21"/>
                <w:szCs w:val="21"/>
                <w:u w:val="none"/>
                <w:lang w:val="en-US" w:eastAsia="zh-CN" w:bidi="ar"/>
              </w:rPr>
              <w:t>完全符合技术要求</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满足功能需要</w:t>
            </w:r>
            <w:r>
              <w:rPr>
                <w:rFonts w:hint="eastAsia" w:ascii="宋体" w:hAnsi="宋体" w:eastAsia="宋体" w:cs="宋体"/>
                <w:i w:val="0"/>
                <w:iCs w:val="0"/>
                <w:color w:val="000000"/>
                <w:kern w:val="0"/>
                <w:sz w:val="21"/>
                <w:szCs w:val="21"/>
                <w:u w:val="none"/>
                <w:lang w:val="en-US" w:eastAsia="zh-CN" w:bidi="ar"/>
              </w:rPr>
              <w:t xml:space="preserve">，得 </w:t>
            </w:r>
            <w:r>
              <w:rPr>
                <w:rFonts w:hint="eastAsia" w:ascii="宋体" w:hAnsi="宋体" w:cs="宋体"/>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 xml:space="preserve"> 分；</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项目</w:t>
            </w:r>
            <w:r>
              <w:rPr>
                <w:rFonts w:hint="eastAsia" w:ascii="宋体" w:hAnsi="宋体" w:cs="宋体"/>
                <w:i w:val="0"/>
                <w:iCs w:val="0"/>
                <w:color w:val="000000"/>
                <w:kern w:val="0"/>
                <w:sz w:val="21"/>
                <w:szCs w:val="21"/>
                <w:u w:val="none"/>
                <w:lang w:val="en-US" w:eastAsia="zh-CN" w:bidi="ar"/>
              </w:rPr>
              <w:t>部分</w:t>
            </w:r>
            <w:r>
              <w:rPr>
                <w:rFonts w:hint="eastAsia" w:ascii="宋体" w:hAnsi="宋体" w:eastAsia="宋体" w:cs="宋体"/>
                <w:i w:val="0"/>
                <w:iCs w:val="0"/>
                <w:color w:val="000000"/>
                <w:kern w:val="0"/>
                <w:sz w:val="21"/>
                <w:szCs w:val="21"/>
                <w:u w:val="none"/>
                <w:lang w:val="en-US" w:eastAsia="zh-CN" w:bidi="ar"/>
              </w:rPr>
              <w:t>符合</w:t>
            </w:r>
            <w:r>
              <w:rPr>
                <w:rFonts w:hint="eastAsia" w:ascii="宋体" w:hAnsi="宋体" w:cs="宋体"/>
                <w:i w:val="0"/>
                <w:iCs w:val="0"/>
                <w:color w:val="000000"/>
                <w:kern w:val="0"/>
                <w:sz w:val="21"/>
                <w:szCs w:val="21"/>
                <w:u w:val="none"/>
                <w:lang w:val="en-US" w:eastAsia="zh-CN" w:bidi="ar"/>
              </w:rPr>
              <w:t>技术要求</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满足功能需要</w:t>
            </w:r>
            <w:r>
              <w:rPr>
                <w:rFonts w:hint="eastAsia" w:ascii="宋体" w:hAnsi="宋体" w:eastAsia="宋体" w:cs="宋体"/>
                <w:i w:val="0"/>
                <w:iCs w:val="0"/>
                <w:color w:val="000000"/>
                <w:kern w:val="0"/>
                <w:sz w:val="21"/>
                <w:szCs w:val="21"/>
                <w:u w:val="none"/>
                <w:lang w:val="en-US" w:eastAsia="zh-CN" w:bidi="ar"/>
              </w:rPr>
              <w:t>，得</w:t>
            </w:r>
            <w:r>
              <w:rPr>
                <w:rFonts w:hint="eastAsia" w:ascii="宋体" w:hAnsi="宋体" w:cs="宋体"/>
                <w:i w:val="0"/>
                <w:iCs w:val="0"/>
                <w:color w:val="000000"/>
                <w:kern w:val="0"/>
                <w:sz w:val="21"/>
                <w:szCs w:val="21"/>
                <w:u w:val="none"/>
                <w:lang w:val="en-US" w:eastAsia="zh-CN" w:bidi="ar"/>
              </w:rPr>
              <w:t>25</w:t>
            </w:r>
            <w:r>
              <w:rPr>
                <w:rFonts w:hint="eastAsia" w:ascii="宋体" w:hAnsi="宋体" w:eastAsia="宋体" w:cs="宋体"/>
                <w:i w:val="0"/>
                <w:iCs w:val="0"/>
                <w:color w:val="000000"/>
                <w:kern w:val="0"/>
                <w:sz w:val="21"/>
                <w:szCs w:val="21"/>
                <w:u w:val="none"/>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项目</w:t>
            </w:r>
            <w:r>
              <w:rPr>
                <w:rFonts w:hint="eastAsia" w:ascii="宋体" w:hAnsi="宋体" w:cs="宋体"/>
                <w:i w:val="0"/>
                <w:iCs w:val="0"/>
                <w:color w:val="000000"/>
                <w:kern w:val="0"/>
                <w:sz w:val="21"/>
                <w:szCs w:val="21"/>
                <w:u w:val="none"/>
                <w:lang w:val="en-US" w:eastAsia="zh-CN" w:bidi="ar"/>
              </w:rPr>
              <w:t>基本符合技术要求</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符合部分功能需要</w:t>
            </w:r>
            <w:r>
              <w:rPr>
                <w:rFonts w:hint="eastAsia" w:ascii="宋体" w:hAnsi="宋体" w:eastAsia="宋体" w:cs="宋体"/>
                <w:i w:val="0"/>
                <w:iCs w:val="0"/>
                <w:color w:val="000000"/>
                <w:kern w:val="0"/>
                <w:sz w:val="21"/>
                <w:szCs w:val="21"/>
                <w:u w:val="none"/>
                <w:lang w:val="en-US" w:eastAsia="zh-CN" w:bidi="ar"/>
              </w:rPr>
              <w:t xml:space="preserve">，得 </w:t>
            </w: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分。</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r>
              <w:rPr>
                <w:rFonts w:hint="eastAsia" w:ascii="宋体" w:hAnsi="宋体" w:cs="宋体"/>
                <w:i w:val="0"/>
                <w:iCs w:val="0"/>
                <w:color w:val="000000"/>
                <w:kern w:val="0"/>
                <w:sz w:val="21"/>
                <w:szCs w:val="21"/>
                <w:u w:val="none"/>
                <w:lang w:val="en-US" w:eastAsia="zh-CN" w:bidi="ar"/>
              </w:rPr>
              <w:t>完全不符合功能需要</w:t>
            </w:r>
            <w:r>
              <w:rPr>
                <w:rFonts w:hint="eastAsia" w:ascii="宋体" w:hAnsi="宋体" w:eastAsia="宋体" w:cs="宋体"/>
                <w:i w:val="0"/>
                <w:iCs w:val="0"/>
                <w:color w:val="000000"/>
                <w:kern w:val="0"/>
                <w:sz w:val="21"/>
                <w:szCs w:val="21"/>
                <w:u w:val="none"/>
                <w:lang w:val="en-US" w:eastAsia="zh-CN" w:bidi="ar"/>
              </w:rPr>
              <w:t>，得 0 分。</w:t>
            </w:r>
          </w:p>
        </w:tc>
        <w:tc>
          <w:tcPr>
            <w:tcW w:w="678" w:type="pc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rPr>
            </w:pPr>
            <w:r>
              <w:rPr>
                <w:rFonts w:hint="eastAsia" w:ascii="Calibri" w:hAnsi="Calibri"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4" w:hRule="atLeast"/>
        </w:trPr>
        <w:tc>
          <w:tcPr>
            <w:tcW w:w="694" w:type="pct"/>
            <w:vMerge w:val="restart"/>
            <w:tcBorders>
              <w:top w:val="nil"/>
              <w:left w:val="single" w:color="000000"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组织实施方案</w:t>
            </w:r>
          </w:p>
        </w:tc>
        <w:tc>
          <w:tcPr>
            <w:tcW w:w="3627"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w:t>
            </w: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人项目组织实施方案的科学性、合理性、规范性和可操作性，包括安装调试、组织机构、工作时间进度表、工作程序和步骤、管理和协调方法等。</w:t>
            </w:r>
          </w:p>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 </w:t>
            </w:r>
            <w:r>
              <w:rPr>
                <w:rStyle w:val="24"/>
                <w:lang w:val="en-US" w:eastAsia="zh-CN" w:bidi="ar"/>
              </w:rPr>
              <w:t xml:space="preserve">项目实施标准规范、实际操作性强，得 </w:t>
            </w:r>
            <w:r>
              <w:rPr>
                <w:rStyle w:val="23"/>
                <w:rFonts w:hint="eastAsia"/>
                <w:lang w:val="en-US" w:eastAsia="zh-CN" w:bidi="ar"/>
              </w:rPr>
              <w:t>15</w:t>
            </w:r>
            <w:r>
              <w:rPr>
                <w:rStyle w:val="23"/>
                <w:rFonts w:eastAsia="宋体"/>
                <w:lang w:val="en-US" w:eastAsia="zh-CN" w:bidi="ar"/>
              </w:rPr>
              <w:t xml:space="preserve"> </w:t>
            </w:r>
            <w:r>
              <w:rPr>
                <w:rStyle w:val="24"/>
                <w:lang w:val="en-US" w:eastAsia="zh-CN" w:bidi="ar"/>
              </w:rPr>
              <w:t>分；</w:t>
            </w:r>
          </w:p>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 </w:t>
            </w:r>
            <w:r>
              <w:rPr>
                <w:rStyle w:val="24"/>
                <w:lang w:val="en-US" w:eastAsia="zh-CN" w:bidi="ar"/>
              </w:rPr>
              <w:t xml:space="preserve">项目实施符合规范、实际操作性一般，得 </w:t>
            </w:r>
            <w:r>
              <w:rPr>
                <w:rStyle w:val="23"/>
                <w:rFonts w:hint="eastAsia"/>
                <w:lang w:val="en-US" w:eastAsia="zh-CN" w:bidi="ar"/>
              </w:rPr>
              <w:t>10</w:t>
            </w:r>
            <w:r>
              <w:rPr>
                <w:rStyle w:val="24"/>
                <w:lang w:val="en-US" w:eastAsia="zh-CN" w:bidi="ar"/>
              </w:rPr>
              <w:t>分；</w:t>
            </w:r>
          </w:p>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 </w:t>
            </w:r>
            <w:r>
              <w:rPr>
                <w:rStyle w:val="24"/>
                <w:lang w:val="en-US" w:eastAsia="zh-CN" w:bidi="ar"/>
              </w:rPr>
              <w:t xml:space="preserve">项目实施基本规范、实际操作性弱，得 </w:t>
            </w:r>
            <w:r>
              <w:rPr>
                <w:rStyle w:val="24"/>
                <w:rFonts w:hint="eastAsia"/>
                <w:lang w:val="en-US" w:eastAsia="zh-CN" w:bidi="ar"/>
              </w:rPr>
              <w:t>5</w:t>
            </w:r>
            <w:r>
              <w:rPr>
                <w:rStyle w:val="24"/>
                <w:lang w:val="en-US" w:eastAsia="zh-CN" w:bidi="ar"/>
              </w:rPr>
              <w:t>分。</w:t>
            </w:r>
          </w:p>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(4) </w:t>
            </w:r>
            <w:r>
              <w:rPr>
                <w:rFonts w:hint="eastAsia" w:ascii="Calibri" w:hAnsi="Calibri" w:cs="Calibri"/>
                <w:i w:val="0"/>
                <w:iCs w:val="0"/>
                <w:color w:val="000000"/>
                <w:kern w:val="0"/>
                <w:sz w:val="21"/>
                <w:szCs w:val="21"/>
                <w:u w:val="none"/>
                <w:lang w:val="en-US" w:eastAsia="zh-CN" w:bidi="ar"/>
              </w:rPr>
              <w:t>完全不符合或</w:t>
            </w:r>
            <w:r>
              <w:rPr>
                <w:rStyle w:val="24"/>
                <w:lang w:val="en-US" w:eastAsia="zh-CN" w:bidi="ar"/>
              </w:rPr>
              <w:t xml:space="preserve">没有提供，得 </w:t>
            </w:r>
            <w:r>
              <w:rPr>
                <w:rStyle w:val="23"/>
                <w:rFonts w:eastAsia="宋体"/>
                <w:lang w:val="en-US" w:eastAsia="zh-CN" w:bidi="ar"/>
              </w:rPr>
              <w:t xml:space="preserve">0 </w:t>
            </w:r>
            <w:r>
              <w:rPr>
                <w:rStyle w:val="24"/>
                <w:lang w:val="en-US" w:eastAsia="zh-CN" w:bidi="ar"/>
              </w:rPr>
              <w:t>分。</w:t>
            </w:r>
          </w:p>
        </w:tc>
        <w:tc>
          <w:tcPr>
            <w:tcW w:w="678" w:type="pct"/>
            <w:vMerge w:val="restart"/>
            <w:tcBorders>
              <w:top w:val="nil"/>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4" w:type="pct"/>
            <w:vMerge w:val="restart"/>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 xml:space="preserve"> </w:t>
            </w:r>
          </w:p>
        </w:tc>
        <w:tc>
          <w:tcPr>
            <w:tcW w:w="3627"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rPr>
            </w:pPr>
          </w:p>
        </w:tc>
        <w:tc>
          <w:tcPr>
            <w:tcW w:w="678" w:type="pct"/>
            <w:vMerge w:val="restart"/>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1" w:hRule="atLeast"/>
        </w:trPr>
        <w:tc>
          <w:tcPr>
            <w:tcW w:w="694" w:type="pct"/>
            <w:tcBorders>
              <w:top w:val="single" w:color="auto"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质量保障措施</w:t>
            </w:r>
          </w:p>
        </w:tc>
        <w:tc>
          <w:tcPr>
            <w:tcW w:w="3627"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w:t>
            </w: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人提供的系统开发的相关质量保障措施进行评分；</w:t>
            </w:r>
          </w:p>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 </w:t>
            </w:r>
            <w:r>
              <w:rPr>
                <w:rStyle w:val="24"/>
                <w:lang w:val="en-US" w:eastAsia="zh-CN" w:bidi="ar"/>
              </w:rPr>
              <w:t>保障措施计划详尽、合理、完善，得</w:t>
            </w:r>
            <w:r>
              <w:rPr>
                <w:rStyle w:val="23"/>
                <w:rFonts w:hint="eastAsia"/>
                <w:lang w:val="en-US" w:eastAsia="zh-CN" w:bidi="ar"/>
              </w:rPr>
              <w:t>6</w:t>
            </w:r>
            <w:r>
              <w:rPr>
                <w:rStyle w:val="24"/>
                <w:lang w:val="en-US" w:eastAsia="zh-CN" w:bidi="ar"/>
              </w:rPr>
              <w:t>分；</w:t>
            </w:r>
          </w:p>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 </w:t>
            </w:r>
            <w:r>
              <w:rPr>
                <w:rStyle w:val="24"/>
                <w:lang w:val="en-US" w:eastAsia="zh-CN" w:bidi="ar"/>
              </w:rPr>
              <w:t xml:space="preserve">保障措施计划较好、基本满足要求，得 </w:t>
            </w:r>
            <w:r>
              <w:rPr>
                <w:rStyle w:val="23"/>
                <w:rFonts w:hint="eastAsia"/>
                <w:lang w:val="en-US" w:eastAsia="zh-CN" w:bidi="ar"/>
              </w:rPr>
              <w:t>4</w:t>
            </w:r>
            <w:r>
              <w:rPr>
                <w:rStyle w:val="24"/>
                <w:lang w:val="en-US" w:eastAsia="zh-CN" w:bidi="ar"/>
              </w:rPr>
              <w:t>分；</w:t>
            </w:r>
          </w:p>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 </w:t>
            </w:r>
            <w:r>
              <w:rPr>
                <w:rStyle w:val="24"/>
                <w:lang w:val="en-US" w:eastAsia="zh-CN" w:bidi="ar"/>
              </w:rPr>
              <w:t xml:space="preserve">保障措施计划不完善、不明确，得 </w:t>
            </w:r>
            <w:r>
              <w:rPr>
                <w:rStyle w:val="23"/>
                <w:rFonts w:hint="eastAsia"/>
                <w:lang w:val="en-US" w:eastAsia="zh-CN" w:bidi="ar"/>
              </w:rPr>
              <w:t>2</w:t>
            </w:r>
            <w:r>
              <w:rPr>
                <w:rStyle w:val="24"/>
                <w:lang w:val="en-US" w:eastAsia="zh-CN" w:bidi="ar"/>
              </w:rPr>
              <w:t>分。</w:t>
            </w:r>
          </w:p>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(4) </w:t>
            </w:r>
            <w:r>
              <w:rPr>
                <w:rStyle w:val="24"/>
                <w:lang w:val="en-US" w:eastAsia="zh-CN" w:bidi="ar"/>
              </w:rPr>
              <w:t xml:space="preserve">没有提供，得 </w:t>
            </w:r>
            <w:r>
              <w:rPr>
                <w:rStyle w:val="23"/>
                <w:rFonts w:eastAsia="宋体"/>
                <w:lang w:val="en-US" w:eastAsia="zh-CN" w:bidi="ar"/>
              </w:rPr>
              <w:t xml:space="preserve">0 </w:t>
            </w:r>
            <w:r>
              <w:rPr>
                <w:rStyle w:val="24"/>
                <w:lang w:val="en-US" w:eastAsia="zh-CN" w:bidi="ar"/>
              </w:rPr>
              <w:t>分。</w:t>
            </w:r>
          </w:p>
        </w:tc>
        <w:tc>
          <w:tcPr>
            <w:tcW w:w="678" w:type="pct"/>
            <w:tcBorders>
              <w:top w:val="single" w:color="auto"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694" w:type="pct"/>
            <w:tcBorders>
              <w:top w:val="nil"/>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培训计划</w:t>
            </w:r>
          </w:p>
        </w:tc>
        <w:tc>
          <w:tcPr>
            <w:tcW w:w="3627" w:type="pct"/>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w:t>
            </w:r>
            <w:r>
              <w:rPr>
                <w:rFonts w:hint="eastAsia" w:ascii="宋体" w:hAnsi="宋体" w:cs="宋体"/>
                <w:i w:val="0"/>
                <w:iCs w:val="0"/>
                <w:color w:val="000000"/>
                <w:kern w:val="0"/>
                <w:sz w:val="21"/>
                <w:szCs w:val="21"/>
                <w:u w:val="none"/>
                <w:lang w:val="en-US" w:eastAsia="zh-CN" w:bidi="ar"/>
              </w:rPr>
              <w:t>报价</w:t>
            </w:r>
            <w:r>
              <w:rPr>
                <w:rFonts w:hint="eastAsia" w:ascii="宋体" w:hAnsi="宋体" w:eastAsia="宋体" w:cs="宋体"/>
                <w:i w:val="0"/>
                <w:iCs w:val="0"/>
                <w:color w:val="000000"/>
                <w:kern w:val="0"/>
                <w:sz w:val="21"/>
                <w:szCs w:val="21"/>
                <w:u w:val="none"/>
                <w:lang w:val="en-US" w:eastAsia="zh-CN" w:bidi="ar"/>
              </w:rPr>
              <w:t>人培训计划的科学性、合理性和可操作性，包括对采购人的管理人员、操作人员及维护人员进行培训等承诺情况等内容。</w:t>
            </w:r>
          </w:p>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(1) </w:t>
            </w:r>
            <w:r>
              <w:rPr>
                <w:rStyle w:val="24"/>
                <w:lang w:val="en-US" w:eastAsia="zh-CN" w:bidi="ar"/>
              </w:rPr>
              <w:t>项目培训计划好、可操作性强，得</w:t>
            </w:r>
            <w:r>
              <w:rPr>
                <w:rStyle w:val="23"/>
                <w:rFonts w:hint="eastAsia"/>
                <w:lang w:val="en-US" w:eastAsia="zh-CN" w:bidi="ar"/>
              </w:rPr>
              <w:t>10</w:t>
            </w:r>
            <w:r>
              <w:rPr>
                <w:rStyle w:val="24"/>
                <w:lang w:val="en-US" w:eastAsia="zh-CN" w:bidi="ar"/>
              </w:rPr>
              <w:t>分；</w:t>
            </w:r>
          </w:p>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(2) </w:t>
            </w:r>
            <w:r>
              <w:rPr>
                <w:rStyle w:val="24"/>
                <w:lang w:val="en-US" w:eastAsia="zh-CN" w:bidi="ar"/>
              </w:rPr>
              <w:t>项目培训计划较好、实际操作性一般，得</w:t>
            </w:r>
            <w:r>
              <w:rPr>
                <w:rStyle w:val="24"/>
                <w:rFonts w:hint="eastAsia"/>
                <w:lang w:val="en-US" w:eastAsia="zh-CN" w:bidi="ar"/>
              </w:rPr>
              <w:t>6</w:t>
            </w:r>
            <w:r>
              <w:rPr>
                <w:rStyle w:val="24"/>
                <w:lang w:val="en-US" w:eastAsia="zh-CN" w:bidi="ar"/>
              </w:rPr>
              <w:t>分；</w:t>
            </w:r>
          </w:p>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(3) </w:t>
            </w:r>
            <w:r>
              <w:rPr>
                <w:rStyle w:val="24"/>
                <w:lang w:val="en-US" w:eastAsia="zh-CN" w:bidi="ar"/>
              </w:rPr>
              <w:t xml:space="preserve">项目培训计划不完善、实际操作性弱，得 </w:t>
            </w:r>
            <w:r>
              <w:rPr>
                <w:rStyle w:val="24"/>
                <w:rFonts w:hint="eastAsia"/>
                <w:lang w:val="en-US" w:eastAsia="zh-CN" w:bidi="ar"/>
              </w:rPr>
              <w:t>3</w:t>
            </w:r>
            <w:r>
              <w:rPr>
                <w:rStyle w:val="24"/>
                <w:lang w:val="en-US" w:eastAsia="zh-CN" w:bidi="ar"/>
              </w:rPr>
              <w:t>分。</w:t>
            </w:r>
          </w:p>
          <w:p>
            <w:pPr>
              <w:keepNext w:val="0"/>
              <w:keepLines w:val="0"/>
              <w:widowControl/>
              <w:suppressLineNumbers w:val="0"/>
              <w:jc w:val="both"/>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(4) </w:t>
            </w:r>
            <w:r>
              <w:rPr>
                <w:rStyle w:val="24"/>
                <w:lang w:val="en-US" w:eastAsia="zh-CN" w:bidi="ar"/>
              </w:rPr>
              <w:t xml:space="preserve">没有提供，得 </w:t>
            </w:r>
            <w:r>
              <w:rPr>
                <w:rStyle w:val="23"/>
                <w:rFonts w:eastAsia="宋体"/>
                <w:lang w:val="en-US" w:eastAsia="zh-CN" w:bidi="ar"/>
              </w:rPr>
              <w:t xml:space="preserve">0 </w:t>
            </w:r>
            <w:r>
              <w:rPr>
                <w:rStyle w:val="24"/>
                <w:lang w:val="en-US" w:eastAsia="zh-CN" w:bidi="ar"/>
              </w:rPr>
              <w:t>分。</w:t>
            </w:r>
          </w:p>
        </w:tc>
        <w:tc>
          <w:tcPr>
            <w:tcW w:w="678" w:type="pct"/>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0" w:hRule="atLeast"/>
        </w:trPr>
        <w:tc>
          <w:tcPr>
            <w:tcW w:w="694" w:type="pct"/>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售后服务</w:t>
            </w:r>
          </w:p>
        </w:tc>
        <w:tc>
          <w:tcPr>
            <w:tcW w:w="3627" w:type="pc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numPr>
                <w:ilvl w:val="0"/>
                <w:numId w:val="4"/>
              </w:numPr>
              <w:suppressLineNumbers w:val="0"/>
              <w:jc w:val="both"/>
              <w:textAlignment w:val="center"/>
              <w:rPr>
                <w:rFonts w:hint="default"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投标人提供针对本项目的售后服务保障和培训方案，至少包括：响应时间、组织与人员保障、应急处理措施等售后服务保障；运维服务目标、体系、原则；本项目培训计划安排；</w:t>
            </w:r>
          </w:p>
          <w:p>
            <w:pPr>
              <w:keepNext w:val="0"/>
              <w:keepLines w:val="0"/>
              <w:widowControl/>
              <w:numPr>
                <w:ilvl w:val="0"/>
                <w:numId w:val="4"/>
              </w:numPr>
              <w:suppressLineNumbers w:val="0"/>
              <w:jc w:val="both"/>
              <w:textAlignment w:val="center"/>
              <w:rPr>
                <w:rFonts w:hint="eastAsia"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方案科学合理，内容完整详实，得1</w:t>
            </w:r>
            <w:r>
              <w:rPr>
                <w:rFonts w:hint="eastAsia" w:ascii="Calibri" w:hAnsi="Calibri" w:cs="Calibri"/>
                <w:i w:val="0"/>
                <w:iCs w:val="0"/>
                <w:color w:val="000000"/>
                <w:kern w:val="0"/>
                <w:sz w:val="21"/>
                <w:szCs w:val="21"/>
                <w:u w:val="none"/>
                <w:lang w:val="en-US" w:eastAsia="zh-CN" w:bidi="ar"/>
              </w:rPr>
              <w:t>5</w:t>
            </w:r>
            <w:r>
              <w:rPr>
                <w:rFonts w:hint="eastAsia" w:ascii="Calibri" w:hAnsi="Calibri" w:eastAsia="宋体" w:cs="Calibri"/>
                <w:i w:val="0"/>
                <w:iCs w:val="0"/>
                <w:color w:val="000000"/>
                <w:kern w:val="0"/>
                <w:sz w:val="21"/>
                <w:szCs w:val="21"/>
                <w:u w:val="none"/>
                <w:lang w:val="en-US" w:eastAsia="zh-CN" w:bidi="ar"/>
              </w:rPr>
              <w:t>分;</w:t>
            </w:r>
          </w:p>
          <w:p>
            <w:pPr>
              <w:keepNext w:val="0"/>
              <w:keepLines w:val="0"/>
              <w:widowControl/>
              <w:numPr>
                <w:ilvl w:val="0"/>
                <w:numId w:val="4"/>
              </w:numPr>
              <w:suppressLineNumbers w:val="0"/>
              <w:jc w:val="both"/>
              <w:textAlignment w:val="center"/>
              <w:rPr>
                <w:rFonts w:hint="eastAsia"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方案合理性一般，内容基本完整详实，得</w:t>
            </w:r>
            <w:r>
              <w:rPr>
                <w:rFonts w:hint="eastAsia" w:ascii="Calibri" w:hAnsi="Calibri" w:cs="Calibri"/>
                <w:i w:val="0"/>
                <w:iCs w:val="0"/>
                <w:color w:val="000000"/>
                <w:kern w:val="0"/>
                <w:sz w:val="21"/>
                <w:szCs w:val="21"/>
                <w:u w:val="none"/>
                <w:lang w:val="en-US" w:eastAsia="zh-CN" w:bidi="ar"/>
              </w:rPr>
              <w:t>10</w:t>
            </w:r>
            <w:r>
              <w:rPr>
                <w:rFonts w:hint="eastAsia" w:ascii="Calibri" w:hAnsi="Calibri" w:eastAsia="宋体" w:cs="Calibri"/>
                <w:i w:val="0"/>
                <w:iCs w:val="0"/>
                <w:color w:val="000000"/>
                <w:kern w:val="0"/>
                <w:sz w:val="21"/>
                <w:szCs w:val="21"/>
                <w:u w:val="none"/>
                <w:lang w:val="en-US" w:eastAsia="zh-CN" w:bidi="ar"/>
              </w:rPr>
              <w:t>分;</w:t>
            </w:r>
          </w:p>
          <w:p>
            <w:pPr>
              <w:keepNext w:val="0"/>
              <w:keepLines w:val="0"/>
              <w:widowControl/>
              <w:numPr>
                <w:ilvl w:val="0"/>
                <w:numId w:val="4"/>
              </w:numPr>
              <w:suppressLineNumbers w:val="0"/>
              <w:jc w:val="both"/>
              <w:textAlignment w:val="center"/>
              <w:rPr>
                <w:rFonts w:hint="eastAsia"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方案</w:t>
            </w:r>
            <w:r>
              <w:rPr>
                <w:rFonts w:hint="eastAsia" w:ascii="Calibri" w:hAnsi="Calibri" w:cs="Calibri"/>
                <w:i w:val="0"/>
                <w:iCs w:val="0"/>
                <w:color w:val="000000"/>
                <w:kern w:val="0"/>
                <w:sz w:val="21"/>
                <w:szCs w:val="21"/>
                <w:u w:val="none"/>
                <w:lang w:val="en-US" w:eastAsia="zh-CN" w:bidi="ar"/>
              </w:rPr>
              <w:t>缺乏合理性</w:t>
            </w:r>
            <w:r>
              <w:rPr>
                <w:rFonts w:hint="eastAsia" w:ascii="Calibri" w:hAnsi="Calibri" w:eastAsia="宋体" w:cs="Calibri"/>
                <w:i w:val="0"/>
                <w:iCs w:val="0"/>
                <w:color w:val="000000"/>
                <w:kern w:val="0"/>
                <w:sz w:val="21"/>
                <w:szCs w:val="21"/>
                <w:u w:val="none"/>
                <w:lang w:val="en-US" w:eastAsia="zh-CN" w:bidi="ar"/>
              </w:rPr>
              <w:t>，有缺项，得</w:t>
            </w:r>
            <w:r>
              <w:rPr>
                <w:rFonts w:hint="eastAsia" w:ascii="Calibri" w:hAnsi="Calibri" w:cs="Calibri"/>
                <w:i w:val="0"/>
                <w:iCs w:val="0"/>
                <w:color w:val="000000"/>
                <w:kern w:val="0"/>
                <w:sz w:val="21"/>
                <w:szCs w:val="21"/>
                <w:u w:val="none"/>
                <w:lang w:val="en-US" w:eastAsia="zh-CN" w:bidi="ar"/>
              </w:rPr>
              <w:t>5</w:t>
            </w:r>
            <w:r>
              <w:rPr>
                <w:rFonts w:hint="eastAsia" w:ascii="Calibri" w:hAnsi="Calibri" w:eastAsia="宋体" w:cs="Calibri"/>
                <w:i w:val="0"/>
                <w:iCs w:val="0"/>
                <w:color w:val="000000"/>
                <w:kern w:val="0"/>
                <w:sz w:val="21"/>
                <w:szCs w:val="21"/>
                <w:u w:val="none"/>
                <w:lang w:val="en-US" w:eastAsia="zh-CN" w:bidi="ar"/>
              </w:rPr>
              <w:t>分;</w:t>
            </w:r>
          </w:p>
          <w:p>
            <w:pPr>
              <w:keepNext w:val="0"/>
              <w:keepLines w:val="0"/>
              <w:widowControl/>
              <w:numPr>
                <w:ilvl w:val="0"/>
                <w:numId w:val="4"/>
              </w:numPr>
              <w:suppressLineNumbers w:val="0"/>
              <w:jc w:val="both"/>
              <w:textAlignment w:val="center"/>
              <w:rPr>
                <w:rFonts w:hint="default" w:ascii="Calibri" w:hAnsi="Calibri" w:eastAsia="宋体" w:cs="Calibri"/>
                <w:i w:val="0"/>
                <w:iCs w:val="0"/>
                <w:color w:val="000000"/>
                <w:sz w:val="21"/>
                <w:szCs w:val="21"/>
                <w:u w:val="none"/>
              </w:rPr>
            </w:pPr>
            <w:r>
              <w:rPr>
                <w:rFonts w:hint="eastAsia" w:ascii="Calibri" w:hAnsi="Calibri" w:cs="Calibri"/>
                <w:i w:val="0"/>
                <w:iCs w:val="0"/>
                <w:color w:val="000000"/>
                <w:kern w:val="0"/>
                <w:sz w:val="21"/>
                <w:szCs w:val="21"/>
                <w:u w:val="none"/>
                <w:lang w:val="en-US" w:eastAsia="zh-CN" w:bidi="ar"/>
              </w:rPr>
              <w:t>没有提供，得0分</w:t>
            </w:r>
            <w:r>
              <w:rPr>
                <w:rFonts w:hint="eastAsia" w:ascii="Calibri" w:hAnsi="Calibri" w:eastAsia="宋体" w:cs="Calibri"/>
                <w:i w:val="0"/>
                <w:iCs w:val="0"/>
                <w:color w:val="000000"/>
                <w:kern w:val="0"/>
                <w:sz w:val="21"/>
                <w:szCs w:val="21"/>
                <w:u w:val="none"/>
                <w:lang w:val="en-US" w:eastAsia="zh-CN" w:bidi="ar"/>
              </w:rPr>
              <w:t>。</w:t>
            </w:r>
          </w:p>
        </w:tc>
        <w:tc>
          <w:tcPr>
            <w:tcW w:w="678" w:type="pct"/>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15</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F1BFB1"/>
    <w:multiLevelType w:val="singleLevel"/>
    <w:tmpl w:val="F0F1BFB1"/>
    <w:lvl w:ilvl="0" w:tentative="0">
      <w:start w:val="1"/>
      <w:numFmt w:val="decimal"/>
      <w:suff w:val="nothing"/>
      <w:lvlText w:val="%1"/>
      <w:lvlJc w:val="left"/>
      <w:pPr>
        <w:tabs>
          <w:tab w:val="left" w:pos="0"/>
        </w:tabs>
        <w:ind w:left="0" w:firstLine="0"/>
      </w:pPr>
      <w:rPr>
        <w:rFonts w:hint="default"/>
      </w:rPr>
    </w:lvl>
  </w:abstractNum>
  <w:abstractNum w:abstractNumId="1">
    <w:nsid w:val="F7520F67"/>
    <w:multiLevelType w:val="multilevel"/>
    <w:tmpl w:val="F7520F67"/>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0" w:firstLine="0"/>
      </w:pPr>
      <w:rPr>
        <w:rFonts w:hint="eastAsia"/>
      </w:rPr>
    </w:lvl>
    <w:lvl w:ilvl="2" w:tentative="0">
      <w:start w:val="1"/>
      <w:numFmt w:val="decimal"/>
      <w:pStyle w:val="6"/>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2">
    <w:nsid w:val="560EA2CD"/>
    <w:multiLevelType w:val="singleLevel"/>
    <w:tmpl w:val="560EA2CD"/>
    <w:lvl w:ilvl="0" w:tentative="0">
      <w:start w:val="1"/>
      <w:numFmt w:val="decimal"/>
      <w:suff w:val="space"/>
      <w:lvlText w:val="(%1)"/>
      <w:lvlJc w:val="left"/>
    </w:lvl>
  </w:abstractNum>
  <w:abstractNum w:abstractNumId="3">
    <w:nsid w:val="76872C4C"/>
    <w:multiLevelType w:val="singleLevel"/>
    <w:tmpl w:val="76872C4C"/>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MGFjNzExZmZmM2M4YjY0MGM1MjczMWExZGYzNTMifQ=="/>
  </w:docVars>
  <w:rsids>
    <w:rsidRoot w:val="1DD25D93"/>
    <w:rsid w:val="00975E9C"/>
    <w:rsid w:val="02223D56"/>
    <w:rsid w:val="032267F7"/>
    <w:rsid w:val="03AD764F"/>
    <w:rsid w:val="06CE5CA7"/>
    <w:rsid w:val="077324C8"/>
    <w:rsid w:val="087B39E8"/>
    <w:rsid w:val="0A2D1BE2"/>
    <w:rsid w:val="0B971310"/>
    <w:rsid w:val="0E1F17A0"/>
    <w:rsid w:val="106A58B6"/>
    <w:rsid w:val="108005C5"/>
    <w:rsid w:val="13EA2994"/>
    <w:rsid w:val="19102702"/>
    <w:rsid w:val="194C18CF"/>
    <w:rsid w:val="1A4C32C6"/>
    <w:rsid w:val="1B2B3823"/>
    <w:rsid w:val="1D813BCE"/>
    <w:rsid w:val="1DD25D93"/>
    <w:rsid w:val="216058A9"/>
    <w:rsid w:val="217C6B87"/>
    <w:rsid w:val="218439FB"/>
    <w:rsid w:val="231A61AF"/>
    <w:rsid w:val="29ED1168"/>
    <w:rsid w:val="2B632B65"/>
    <w:rsid w:val="2CBC5291"/>
    <w:rsid w:val="33B13F3E"/>
    <w:rsid w:val="36783969"/>
    <w:rsid w:val="38316CA8"/>
    <w:rsid w:val="396C52DB"/>
    <w:rsid w:val="3D4A346B"/>
    <w:rsid w:val="3DBF59D9"/>
    <w:rsid w:val="40526FD9"/>
    <w:rsid w:val="42C64707"/>
    <w:rsid w:val="42C91868"/>
    <w:rsid w:val="42DD6902"/>
    <w:rsid w:val="44020D16"/>
    <w:rsid w:val="44444E8A"/>
    <w:rsid w:val="46B61944"/>
    <w:rsid w:val="493F0316"/>
    <w:rsid w:val="4A286FFC"/>
    <w:rsid w:val="4A5127B7"/>
    <w:rsid w:val="4A673806"/>
    <w:rsid w:val="4D7A37A4"/>
    <w:rsid w:val="4E9133C2"/>
    <w:rsid w:val="54E3249D"/>
    <w:rsid w:val="55AE4FFD"/>
    <w:rsid w:val="56811F6E"/>
    <w:rsid w:val="58196B96"/>
    <w:rsid w:val="585A65D3"/>
    <w:rsid w:val="5C6E4D42"/>
    <w:rsid w:val="5E136D9D"/>
    <w:rsid w:val="5F7A4DB3"/>
    <w:rsid w:val="611E2EDC"/>
    <w:rsid w:val="61D45648"/>
    <w:rsid w:val="67C9107F"/>
    <w:rsid w:val="6B571220"/>
    <w:rsid w:val="6D910891"/>
    <w:rsid w:val="6D9B170F"/>
    <w:rsid w:val="6DBC462A"/>
    <w:rsid w:val="6DC72505"/>
    <w:rsid w:val="6DD662A4"/>
    <w:rsid w:val="6EF076F6"/>
    <w:rsid w:val="6F4E6291"/>
    <w:rsid w:val="714125CE"/>
    <w:rsid w:val="744B6D39"/>
    <w:rsid w:val="79D7762B"/>
    <w:rsid w:val="7B9520AE"/>
    <w:rsid w:val="7C991510"/>
    <w:rsid w:val="7EE3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0" w:firstLineChars="0"/>
      <w:jc w:val="both"/>
    </w:pPr>
    <w:rPr>
      <w:rFonts w:eastAsia="宋体" w:asciiTheme="minorAscii" w:hAnsiTheme="minorAscii" w:cstheme="minorBidi"/>
      <w:kern w:val="2"/>
      <w:sz w:val="21"/>
      <w:szCs w:val="21"/>
      <w:lang w:val="en-US" w:eastAsia="zh-CN" w:bidi="ar-SA"/>
    </w:rPr>
  </w:style>
  <w:style w:type="paragraph" w:styleId="4">
    <w:name w:val="heading 1"/>
    <w:basedOn w:val="1"/>
    <w:next w:val="1"/>
    <w:qFormat/>
    <w:uiPriority w:val="0"/>
    <w:pPr>
      <w:keepNext/>
      <w:keepLines/>
      <w:numPr>
        <w:ilvl w:val="0"/>
        <w:numId w:val="1"/>
      </w:numPr>
      <w:adjustRightInd w:val="0"/>
      <w:snapToGrid w:val="0"/>
      <w:spacing w:before="100" w:beforeLines="100"/>
      <w:jc w:val="left"/>
      <w:outlineLvl w:val="0"/>
    </w:pPr>
    <w:rPr>
      <w:rFonts w:ascii="宋体" w:hAnsi="宋体" w:eastAsia="宋体" w:cs="宋体"/>
      <w:b/>
      <w:kern w:val="44"/>
      <w:sz w:val="36"/>
      <w:szCs w:val="36"/>
    </w:rPr>
  </w:style>
  <w:style w:type="paragraph" w:styleId="5">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b/>
      <w:sz w:val="30"/>
    </w:rPr>
  </w:style>
  <w:style w:type="paragraph" w:styleId="6">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7">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宋体"/>
      <w:b/>
      <w:sz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0"/>
    <w:pPr>
      <w:ind w:firstLine="420" w:firstLineChars="100"/>
    </w:pPr>
    <w:rPr>
      <w:szCs w:val="20"/>
    </w:rPr>
  </w:style>
  <w:style w:type="paragraph" w:styleId="3">
    <w:name w:val="Body Text"/>
    <w:basedOn w:val="1"/>
    <w:next w:val="2"/>
    <w:qFormat/>
    <w:uiPriority w:val="0"/>
    <w:pPr>
      <w:spacing w:after="120"/>
    </w:pPr>
  </w:style>
  <w:style w:type="paragraph" w:styleId="13">
    <w:name w:val="annotation text"/>
    <w:basedOn w:val="1"/>
    <w:qFormat/>
    <w:uiPriority w:val="0"/>
    <w:pPr>
      <w:jc w:val="left"/>
    </w:pPr>
  </w:style>
  <w:style w:type="paragraph" w:styleId="14">
    <w:name w:val="Body Text Indent"/>
    <w:basedOn w:val="1"/>
    <w:next w:val="15"/>
    <w:qFormat/>
    <w:uiPriority w:val="99"/>
    <w:pPr>
      <w:spacing w:line="540" w:lineRule="exact"/>
      <w:ind w:firstLine="480" w:firstLineChars="200"/>
    </w:pPr>
    <w:rPr>
      <w:sz w:val="24"/>
    </w:rPr>
  </w:style>
  <w:style w:type="paragraph" w:styleId="15">
    <w:name w:val="Body Text First Indent 2"/>
    <w:basedOn w:val="14"/>
    <w:next w:val="16"/>
    <w:qFormat/>
    <w:uiPriority w:val="0"/>
    <w:pPr>
      <w:spacing w:after="120" w:afterLines="0" w:line="240" w:lineRule="auto"/>
      <w:ind w:left="420" w:leftChars="200" w:firstLine="420"/>
    </w:pPr>
    <w:rPr>
      <w:sz w:val="21"/>
    </w:rPr>
  </w:style>
  <w:style w:type="paragraph" w:customStyle="1" w:styleId="16">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styleId="17">
    <w:name w:val="footer"/>
    <w:basedOn w:val="1"/>
    <w:unhideWhenUsed/>
    <w:qFormat/>
    <w:uiPriority w:val="99"/>
    <w:pPr>
      <w:tabs>
        <w:tab w:val="center" w:pos="4153"/>
        <w:tab w:val="right" w:pos="8306"/>
      </w:tabs>
      <w:snapToGrid w:val="0"/>
      <w:spacing w:line="240" w:lineRule="auto"/>
      <w:jc w:val="left"/>
    </w:pPr>
    <w:rPr>
      <w:sz w:val="18"/>
      <w:szCs w:val="18"/>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No Spacing"/>
    <w:basedOn w:val="1"/>
    <w:qFormat/>
    <w:uiPriority w:val="0"/>
    <w:pPr>
      <w:spacing w:line="240" w:lineRule="auto"/>
      <w:ind w:firstLine="0" w:firstLineChars="0"/>
      <w:jc w:val="center"/>
    </w:pPr>
    <w:rPr>
      <w:rFonts w:ascii="Times New Roman" w:hAnsi="Times New Roman" w:eastAsia="宋体" w:cs="Times New Roman"/>
      <w:szCs w:val="32"/>
    </w:rPr>
  </w:style>
  <w:style w:type="paragraph" w:customStyle="1" w:styleId="22">
    <w:name w:val="无间隔1"/>
    <w:qFormat/>
    <w:uiPriority w:val="0"/>
    <w:pPr>
      <w:widowControl w:val="0"/>
      <w:jc w:val="center"/>
    </w:pPr>
    <w:rPr>
      <w:rFonts w:ascii="Times New Roman" w:hAnsi="Times New Roman" w:eastAsia="宋体" w:cstheme="minorBidi"/>
      <w:kern w:val="2"/>
      <w:sz w:val="24"/>
      <w:szCs w:val="22"/>
      <w:lang w:val="en-US" w:eastAsia="zh-CN" w:bidi="ar-SA"/>
    </w:rPr>
  </w:style>
  <w:style w:type="character" w:customStyle="1" w:styleId="23">
    <w:name w:val="font21"/>
    <w:basedOn w:val="20"/>
    <w:qFormat/>
    <w:uiPriority w:val="0"/>
    <w:rPr>
      <w:rFonts w:hint="default" w:ascii="Calibri" w:hAnsi="Calibri" w:cs="Calibri"/>
      <w:color w:val="000000"/>
      <w:sz w:val="21"/>
      <w:szCs w:val="21"/>
      <w:u w:val="none"/>
    </w:rPr>
  </w:style>
  <w:style w:type="character" w:customStyle="1" w:styleId="24">
    <w:name w:val="font11"/>
    <w:basedOn w:val="20"/>
    <w:qFormat/>
    <w:uiPriority w:val="0"/>
    <w:rPr>
      <w:rFonts w:hint="eastAsia" w:ascii="宋体" w:hAnsi="宋体" w:eastAsia="宋体" w:cs="宋体"/>
      <w:color w:val="000000"/>
      <w:sz w:val="21"/>
      <w:szCs w:val="21"/>
      <w:u w:val="none"/>
    </w:rPr>
  </w:style>
  <w:style w:type="character" w:customStyle="1" w:styleId="25">
    <w:name w:val="font5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1770</Words>
  <Characters>1831</Characters>
  <Lines>0</Lines>
  <Paragraphs>0</Paragraphs>
  <TotalTime>322</TotalTime>
  <ScaleCrop>false</ScaleCrop>
  <LinksUpToDate>false</LinksUpToDate>
  <CharactersWithSpaces>1831</CharactersWithSpaces>
  <Application>WPS Office_11.8.2.12316_F1E327BC-269C-435d-A152-05C5408002CA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2023-05-04T02:06:00Z</dcterms:created>
  <dc:creator>痒痒杨</dc:creator>
  <cp:lastModifiedBy>Kelsen</cp:lastModifiedBy>
  <dcterms:modified xsi:type="dcterms:W3CDTF">2025-08-04T08:19:48Z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2052-11.8.2.12316</vt:lpwstr>
  </property>
  <property fmtid="{D5CDD505-2E9C-101B-9397-08002B2CF9AE}" pid="3" name="ICV">
    <vt:lpwstr>EE47D43196F84280A03975055775F20D_13</vt:lpwstr>
  </property>
  <property fmtid="{D5CDD505-2E9C-101B-9397-08002B2CF9AE}" pid="4" name="KSOTemplateDocerSaveRecord">
    <vt:lpwstr>eyJoZGlkIjoiMGJmNzYyZjEzYWJmYjhjN2M4YWNhNWZjYjgwYWU3MjkiLCJ1c2VySWQiOiI0NDUzNDk3OTcifQ==</vt:lpwstr>
  </property>
</Properties>
</file>